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65E8" w14:textId="77777777" w:rsidR="006638D9" w:rsidRDefault="006638D9" w:rsidP="006638D9">
      <w:bookmarkStart w:id="0" w:name="_GoBack"/>
      <w:bookmarkEnd w:id="0"/>
    </w:p>
    <w:p w14:paraId="523F430E" w14:textId="77777777" w:rsidR="006638D9" w:rsidRDefault="006638D9" w:rsidP="006638D9"/>
    <w:p w14:paraId="5FFC5EC1" w14:textId="77777777" w:rsidR="006638D9" w:rsidRDefault="006638D9" w:rsidP="006638D9"/>
    <w:p w14:paraId="6FCBF6D0" w14:textId="77777777" w:rsidR="006638D9" w:rsidRDefault="006638D9" w:rsidP="006638D9"/>
    <w:p w14:paraId="7EC88E8F" w14:textId="77777777" w:rsidR="00D14E57" w:rsidRPr="00D14E57" w:rsidRDefault="00D14E57" w:rsidP="006638D9">
      <w:pPr>
        <w:rPr>
          <w:i/>
        </w:rPr>
      </w:pPr>
      <w:r>
        <w:rPr>
          <w:i/>
        </w:rPr>
        <w:t xml:space="preserve">Sample of </w:t>
      </w:r>
      <w:r w:rsidRPr="00D14E57">
        <w:rPr>
          <w:i/>
        </w:rPr>
        <w:t>letter sent to those affected</w:t>
      </w:r>
    </w:p>
    <w:p w14:paraId="6F11EDAC" w14:textId="77777777" w:rsidR="00D14E57" w:rsidRPr="00D14E57" w:rsidRDefault="00D14E57" w:rsidP="006638D9">
      <w:pPr>
        <w:rPr>
          <w:i/>
        </w:rPr>
      </w:pPr>
    </w:p>
    <w:p w14:paraId="1DD7C4B7" w14:textId="77777777" w:rsidR="006638D9" w:rsidRDefault="006638D9" w:rsidP="006638D9">
      <w:pPr>
        <w:ind w:left="720" w:hanging="720"/>
        <w:rPr>
          <w:b/>
        </w:rPr>
      </w:pPr>
      <w:r>
        <w:tab/>
        <w:t xml:space="preserve">Re: </w:t>
      </w:r>
      <w:r>
        <w:rPr>
          <w:b/>
          <w:caps/>
        </w:rPr>
        <w:t>Important Notice About YOUR PERSONAL INFORMATION</w:t>
      </w:r>
    </w:p>
    <w:p w14:paraId="79A2633D" w14:textId="77777777" w:rsidR="006638D9" w:rsidRDefault="006638D9" w:rsidP="006638D9"/>
    <w:p w14:paraId="65C6154B" w14:textId="77777777" w:rsidR="006638D9" w:rsidRDefault="006638D9" w:rsidP="006638D9"/>
    <w:p w14:paraId="7B2BBB14" w14:textId="77777777" w:rsidR="00D14E57" w:rsidRDefault="00D14E57" w:rsidP="006638D9"/>
    <w:p w14:paraId="57B4F07D" w14:textId="77777777" w:rsidR="006638D9" w:rsidRDefault="006638D9" w:rsidP="006638D9">
      <w:pPr>
        <w:rPr>
          <w:rFonts w:ascii="Arial" w:hAnsi="Arial" w:cs="Arial"/>
        </w:rPr>
      </w:pPr>
      <w:r>
        <w:t>I am writing to explain a recent security incident that involves your personal information.  During an internal security audit, we discovered that an employee’s email box was compromised, resulting in a copy of emails being surreptitiously sent to an external address from late 2018 to April of this year.  Your name and Social Security number were involved in the incident.  W</w:t>
      </w:r>
      <w:r>
        <w:rPr>
          <w:color w:val="000000"/>
        </w:rPr>
        <w:t>e wanted to reach out to inform you of what we are doing to protect you and what you can do to protect yourself.</w:t>
      </w:r>
      <w:r>
        <w:rPr>
          <w:b/>
          <w:color w:val="000000"/>
        </w:rPr>
        <w:t xml:space="preserve"> </w:t>
      </w:r>
    </w:p>
    <w:p w14:paraId="537ADFEC" w14:textId="77777777" w:rsidR="006638D9" w:rsidRDefault="006638D9" w:rsidP="006638D9"/>
    <w:p w14:paraId="2BED4BE2" w14:textId="77777777" w:rsidR="006638D9" w:rsidRDefault="006638D9" w:rsidP="006638D9">
      <w:r>
        <w:t>Please be advised that we</w:t>
      </w:r>
      <w:r>
        <w:rPr>
          <w:color w:val="000000"/>
        </w:rPr>
        <w:t xml:space="preserve"> </w:t>
      </w:r>
      <w:r>
        <w:t xml:space="preserve">have already taken precautionary steps to mitigate the likelihood of unauthorized use of your personal information and to reduce the possibility of any future similar occurrences.  We have turned off the ability to automatically forward emails outside our system and we have put into place multi-factor authentication for access to email accounts. </w:t>
      </w:r>
    </w:p>
    <w:p w14:paraId="4984ED33" w14:textId="77777777" w:rsidR="006638D9" w:rsidRDefault="006638D9" w:rsidP="006638D9">
      <w:pPr>
        <w:rPr>
          <w:b/>
        </w:rPr>
      </w:pPr>
    </w:p>
    <w:p w14:paraId="0B8C9E0A" w14:textId="77777777" w:rsidR="006638D9" w:rsidRDefault="006638D9" w:rsidP="006638D9">
      <w:r>
        <w:t>Unfortunately, security incidents occur at many companies and organizations and are frequently in the news.  Hackers target entities with personal information and some incidents involve thousands or even millions of persons’ information.</w:t>
      </w:r>
    </w:p>
    <w:p w14:paraId="2C979750" w14:textId="77777777" w:rsidR="006638D9" w:rsidRDefault="006638D9" w:rsidP="006638D9"/>
    <w:p w14:paraId="4E949BF2" w14:textId="77777777" w:rsidR="006638D9" w:rsidRDefault="006638D9" w:rsidP="006638D9">
      <w:r>
        <w:t xml:space="preserve">We believe this letter provides you with the information you need, but please do not hesitate to call us at </w:t>
      </w:r>
      <w:r>
        <w:rPr>
          <w:b/>
        </w:rPr>
        <w:t>1-800-659-2080</w:t>
      </w:r>
      <w:r>
        <w:t xml:space="preserve"> and ask for Egan Hanson, Vice President of Financial Aid and Default Management, so that we can discuss this situation with you.  You may also contact us at </w:t>
      </w:r>
      <w:r w:rsidRPr="0089743C">
        <w:t>6225 Ulmerton Rd.</w:t>
      </w:r>
      <w:r>
        <w:t xml:space="preserve"> </w:t>
      </w:r>
      <w:r w:rsidRPr="0089743C">
        <w:t>Clearwater, FL 33760</w:t>
      </w:r>
      <w:r>
        <w:t xml:space="preserve">/phone </w:t>
      </w:r>
      <w:r w:rsidRPr="0089743C">
        <w:t xml:space="preserve">727-531-2080, </w:t>
      </w:r>
      <w:hyperlink r:id="rId7" w:history="1">
        <w:r w:rsidRPr="0089743C">
          <w:t>https://www.naa.edu</w:t>
        </w:r>
      </w:hyperlink>
      <w:r>
        <w:t xml:space="preserve"> or via email at NAACares@NAA.edu </w:t>
      </w:r>
      <w:r>
        <w:rPr>
          <w:color w:val="000000"/>
        </w:rPr>
        <w:t xml:space="preserve">We </w:t>
      </w:r>
      <w:r>
        <w:t>will assist you in the steps you can take to protect yourself from possible unauthorized use of your personal information. </w:t>
      </w:r>
    </w:p>
    <w:p w14:paraId="362F827C" w14:textId="77777777" w:rsidR="006638D9" w:rsidRDefault="006638D9" w:rsidP="006638D9"/>
    <w:p w14:paraId="57AD9448" w14:textId="77777777" w:rsidR="006638D9" w:rsidRDefault="006638D9" w:rsidP="006638D9">
      <w:r>
        <w:t>To help protect your identity, we are offering a complimentary two-year membership of Experian’s®  IdentityWorks</w:t>
      </w:r>
      <w:r>
        <w:rPr>
          <w:vertAlign w:val="superscript"/>
        </w:rPr>
        <w:t>SM</w:t>
      </w:r>
      <w:r>
        <w:t xml:space="preserve">.  This product provides you with identity detection and resolution of identity theft.  To activate your membership and start monitoring your personal information please follow the steps below: </w:t>
      </w:r>
    </w:p>
    <w:p w14:paraId="391E61B4" w14:textId="77777777" w:rsidR="006638D9" w:rsidRDefault="006638D9" w:rsidP="006638D9">
      <w:pPr>
        <w:jc w:val="both"/>
      </w:pPr>
    </w:p>
    <w:p w14:paraId="5D96FE2C" w14:textId="77777777" w:rsidR="006638D9" w:rsidRDefault="006638D9" w:rsidP="006638D9">
      <w:pPr>
        <w:numPr>
          <w:ilvl w:val="0"/>
          <w:numId w:val="2"/>
        </w:numPr>
        <w:jc w:val="both"/>
      </w:pPr>
      <w:r>
        <w:t xml:space="preserve">Ensure that you </w:t>
      </w:r>
      <w:r>
        <w:rPr>
          <w:b/>
          <w:bCs/>
        </w:rPr>
        <w:t>enroll by</w:t>
      </w:r>
      <w:r>
        <w:t xml:space="preserve">: </w:t>
      </w:r>
      <w:r>
        <w:rPr>
          <w:b/>
          <w:bCs/>
        </w:rPr>
        <w:t xml:space="preserve">9/30/2019 </w:t>
      </w:r>
      <w:r>
        <w:t>(Your code will not work after this date.)</w:t>
      </w:r>
    </w:p>
    <w:p w14:paraId="04A1B847" w14:textId="77777777" w:rsidR="006638D9" w:rsidRPr="0089743C" w:rsidRDefault="006638D9" w:rsidP="006638D9">
      <w:pPr>
        <w:numPr>
          <w:ilvl w:val="0"/>
          <w:numId w:val="2"/>
        </w:numPr>
      </w:pPr>
      <w:r w:rsidRPr="0089743C">
        <w:t>Visit</w:t>
      </w:r>
      <w:r>
        <w:t xml:space="preserve"> the Experian IdentityWorks website to enroll:  </w:t>
      </w:r>
      <w:hyperlink r:id="rId8" w:history="1">
        <w:r w:rsidRPr="0089743C">
          <w:t>https://www.experianidworks.com/credit</w:t>
        </w:r>
      </w:hyperlink>
    </w:p>
    <w:p w14:paraId="4B272A8C" w14:textId="77777777" w:rsidR="006638D9" w:rsidRDefault="006638D9" w:rsidP="006638D9">
      <w:pPr>
        <w:numPr>
          <w:ilvl w:val="0"/>
          <w:numId w:val="2"/>
        </w:numPr>
        <w:jc w:val="both"/>
      </w:pPr>
      <w:r>
        <w:t xml:space="preserve">Provide your </w:t>
      </w:r>
      <w:r>
        <w:rPr>
          <w:b/>
          <w:bCs/>
        </w:rPr>
        <w:t>activation code</w:t>
      </w:r>
      <w:r>
        <w:t xml:space="preserve">: </w:t>
      </w:r>
      <w:r w:rsidRPr="00330303">
        <w:rPr>
          <w:b/>
          <w:bCs/>
          <w:noProof/>
          <w:highlight w:val="yellow"/>
        </w:rPr>
        <w:t>RB8C4M5XC</w:t>
      </w:r>
    </w:p>
    <w:p w14:paraId="389823E3" w14:textId="77777777" w:rsidR="006638D9" w:rsidRDefault="006638D9" w:rsidP="006638D9">
      <w:pPr>
        <w:jc w:val="both"/>
        <w:rPr>
          <w:b/>
          <w:bCs/>
        </w:rPr>
      </w:pPr>
    </w:p>
    <w:p w14:paraId="3FA58BF0" w14:textId="77777777" w:rsidR="006638D9" w:rsidRDefault="006638D9" w:rsidP="006638D9"/>
    <w:p w14:paraId="4CF6532C" w14:textId="77777777" w:rsidR="006638D9" w:rsidRDefault="006638D9" w:rsidP="006638D9">
      <w:pPr>
        <w:rPr>
          <w:b/>
          <w:bCs/>
        </w:rPr>
      </w:pPr>
      <w:r>
        <w:t xml:space="preserve">If you have questions about the product, need assistance with identity restoration or would like an alternative to enrolling in Experian IdentityWorks online, please contact </w:t>
      </w:r>
      <w:r w:rsidRPr="0089743C">
        <w:rPr>
          <w:b/>
          <w:bCs/>
        </w:rPr>
        <w:t xml:space="preserve">Experian’s </w:t>
      </w:r>
      <w:r w:rsidRPr="0089743C">
        <w:rPr>
          <w:b/>
          <w:bCs/>
        </w:rPr>
        <w:lastRenderedPageBreak/>
        <w:t xml:space="preserve">customer care team at 877-890-9332 by </w:t>
      </w:r>
      <w:r>
        <w:rPr>
          <w:b/>
          <w:bCs/>
        </w:rPr>
        <w:t>9/30/</w:t>
      </w:r>
      <w:r w:rsidRPr="0089743C">
        <w:rPr>
          <w:b/>
          <w:bCs/>
        </w:rPr>
        <w:t>2019</w:t>
      </w:r>
      <w:r>
        <w:rPr>
          <w:b/>
          <w:bCs/>
        </w:rPr>
        <w:t xml:space="preserve">.  </w:t>
      </w:r>
      <w:r w:rsidRPr="0089743C">
        <w:rPr>
          <w:b/>
          <w:bCs/>
        </w:rPr>
        <w:t xml:space="preserve">Be prepared to provide engagement number </w:t>
      </w:r>
      <w:r>
        <w:rPr>
          <w:b/>
          <w:bCs/>
          <w:color w:val="1F497D"/>
          <w:highlight w:val="yellow"/>
        </w:rPr>
        <w:t>DB13102</w:t>
      </w:r>
      <w:r>
        <w:rPr>
          <w:color w:val="1F497D"/>
        </w:rPr>
        <w:t xml:space="preserve"> </w:t>
      </w:r>
      <w:r w:rsidRPr="0089743C">
        <w:rPr>
          <w:b/>
          <w:bCs/>
        </w:rPr>
        <w:t xml:space="preserve"> as</w:t>
      </w:r>
      <w:r>
        <w:t xml:space="preserve"> proof of eligibility for the identity restoration services by Experian.</w:t>
      </w:r>
    </w:p>
    <w:p w14:paraId="20E1A8C9" w14:textId="77777777" w:rsidR="006638D9" w:rsidRDefault="006638D9" w:rsidP="006638D9">
      <w:pPr>
        <w:jc w:val="both"/>
        <w:rPr>
          <w:b/>
          <w:bCs/>
        </w:rPr>
      </w:pPr>
    </w:p>
    <w:p w14:paraId="0C14ECC8" w14:textId="77777777" w:rsidR="006638D9" w:rsidRDefault="006638D9" w:rsidP="006638D9">
      <w:pPr>
        <w:jc w:val="center"/>
        <w:rPr>
          <w:b/>
          <w:bCs/>
        </w:rPr>
      </w:pPr>
      <w:r>
        <w:rPr>
          <w:b/>
          <w:bCs/>
        </w:rPr>
        <w:t>Additional details regarding your 24-month Experian IdentityWorks Membership:</w:t>
      </w:r>
    </w:p>
    <w:p w14:paraId="19CC6C41" w14:textId="77777777" w:rsidR="006638D9" w:rsidRDefault="006638D9" w:rsidP="006638D9">
      <w:pPr>
        <w:jc w:val="both"/>
      </w:pPr>
    </w:p>
    <w:p w14:paraId="5261CAE9" w14:textId="77777777" w:rsidR="006638D9" w:rsidRDefault="006638D9" w:rsidP="006638D9">
      <w:r>
        <w:t xml:space="preserve">A credit card is </w:t>
      </w:r>
      <w:r>
        <w:rPr>
          <w:b/>
          <w:bCs/>
        </w:rPr>
        <w:t>not</w:t>
      </w:r>
      <w:r>
        <w:t xml:space="preserve"> required for enrollment in Experian IdentityWorks.  You can contact Experian </w:t>
      </w:r>
      <w:r>
        <w:rPr>
          <w:b/>
          <w:bCs/>
        </w:rPr>
        <w:t>immediately</w:t>
      </w:r>
      <w:r>
        <w:t xml:space="preserve"> regarding any fraud issues, and have access to the following features once you enroll in Experian IdentityWorks:  </w:t>
      </w:r>
    </w:p>
    <w:p w14:paraId="0CB2298F" w14:textId="77777777" w:rsidR="006638D9" w:rsidRDefault="006638D9" w:rsidP="006638D9">
      <w:pPr>
        <w:ind w:left="720"/>
        <w:rPr>
          <w:b/>
        </w:rPr>
      </w:pPr>
    </w:p>
    <w:p w14:paraId="29F10F6B" w14:textId="77777777" w:rsidR="006638D9" w:rsidRDefault="006638D9" w:rsidP="006638D9">
      <w:pPr>
        <w:numPr>
          <w:ilvl w:val="0"/>
          <w:numId w:val="1"/>
        </w:numPr>
        <w:spacing w:before="60" w:after="60"/>
        <w:rPr>
          <w:b/>
        </w:rPr>
      </w:pPr>
      <w:r>
        <w:rPr>
          <w:b/>
        </w:rPr>
        <w:t xml:space="preserve">Experian credit report at signup: </w:t>
      </w:r>
      <w:r>
        <w:t>See what information is associated with your credit file.  Daily credit reports are available for online members only.</w:t>
      </w:r>
      <w:r>
        <w:rPr>
          <w:rStyle w:val="FootnoteReference"/>
        </w:rPr>
        <w:footnoteReference w:id="1"/>
      </w:r>
      <w:r>
        <w:t>*</w:t>
      </w:r>
    </w:p>
    <w:p w14:paraId="1FE945C1" w14:textId="77777777" w:rsidR="006638D9" w:rsidRDefault="006638D9" w:rsidP="006638D9">
      <w:pPr>
        <w:numPr>
          <w:ilvl w:val="0"/>
          <w:numId w:val="1"/>
        </w:numPr>
        <w:spacing w:before="60" w:after="60"/>
      </w:pPr>
      <w:r>
        <w:rPr>
          <w:b/>
          <w:bCs/>
        </w:rPr>
        <w:t>Credit Monitoring:</w:t>
      </w:r>
      <w:r>
        <w:t xml:space="preserve"> Actively monitors Experian file for indicators of fraud.</w:t>
      </w:r>
    </w:p>
    <w:p w14:paraId="5325B456" w14:textId="77777777" w:rsidR="006638D9" w:rsidRDefault="006638D9" w:rsidP="006638D9">
      <w:pPr>
        <w:numPr>
          <w:ilvl w:val="0"/>
          <w:numId w:val="1"/>
        </w:numPr>
        <w:spacing w:before="60" w:after="60"/>
      </w:pPr>
      <w:r>
        <w:rPr>
          <w:b/>
        </w:rPr>
        <w:t xml:space="preserve">Identity Restoration: </w:t>
      </w:r>
      <w:r>
        <w:t>Identity Restoration agents are immediately available to help you address credit and non-credit related fraud.</w:t>
      </w:r>
    </w:p>
    <w:p w14:paraId="68841C0F" w14:textId="77777777" w:rsidR="006638D9" w:rsidRDefault="006638D9" w:rsidP="006638D9">
      <w:pPr>
        <w:numPr>
          <w:ilvl w:val="0"/>
          <w:numId w:val="1"/>
        </w:numPr>
        <w:spacing w:before="60" w:after="60"/>
      </w:pPr>
      <w:r>
        <w:rPr>
          <w:b/>
        </w:rPr>
        <w:t>Experian IdentityWorks ExtendCARE</w:t>
      </w:r>
      <w:r>
        <w:rPr>
          <w:b/>
          <w:vertAlign w:val="superscript"/>
        </w:rPr>
        <w:t>TM</w:t>
      </w:r>
      <w:r>
        <w:t>:  You receive the same high-level of Identity Restoration support even after your Experian IdentityWorks membership has expired.</w:t>
      </w:r>
    </w:p>
    <w:p w14:paraId="2F355CF8" w14:textId="77777777" w:rsidR="006638D9" w:rsidRDefault="006638D9" w:rsidP="006638D9">
      <w:pPr>
        <w:numPr>
          <w:ilvl w:val="0"/>
          <w:numId w:val="1"/>
        </w:numPr>
        <w:spacing w:before="60" w:after="60"/>
      </w:pPr>
      <w:r>
        <w:rPr>
          <w:b/>
        </w:rPr>
        <w:t xml:space="preserve">Up to $1 Million Identity Theft Insurance*: </w:t>
      </w:r>
      <w:r>
        <w:t xml:space="preserve"> Provides coverage for certain costs and unauthorized electronic fund transfers.</w:t>
      </w:r>
    </w:p>
    <w:p w14:paraId="2D3C50B0" w14:textId="77777777" w:rsidR="006638D9" w:rsidRDefault="006638D9" w:rsidP="006638D9">
      <w:pPr>
        <w:rPr>
          <w:b/>
        </w:rPr>
      </w:pPr>
    </w:p>
    <w:p w14:paraId="7DF04B6C" w14:textId="77777777" w:rsidR="006638D9" w:rsidRDefault="006638D9" w:rsidP="006638D9">
      <w:r>
        <w:t xml:space="preserve">If you believe there was fraudulent use of your information and would like to discuss how you may be able to resolve those issues, please reach out to an Experian agent at </w:t>
      </w:r>
      <w:r w:rsidRPr="0089743C">
        <w:t>877-890-9332</w:t>
      </w:r>
      <w:r>
        <w:t>.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068A6620" w14:textId="77777777" w:rsidR="006638D9" w:rsidRDefault="006638D9" w:rsidP="006638D9"/>
    <w:p w14:paraId="067C7EB8" w14:textId="77777777" w:rsidR="006638D9" w:rsidRDefault="006638D9" w:rsidP="006638D9">
      <w:r>
        <w:t xml:space="preserve">Please note that this Identity Restoration support is available to you for one year from the date of this letter and does not require any action on your part at this time.  The Terms and Conditions for this offer are located at </w:t>
      </w:r>
      <w:hyperlink r:id="rId9" w:history="1">
        <w:r>
          <w:rPr>
            <w:color w:val="0000FF"/>
            <w:u w:val="single"/>
          </w:rPr>
          <w:t>www.ExperianIDWorks.com/restoration</w:t>
        </w:r>
      </w:hyperlink>
      <w:r>
        <w:t>.  You will also find self-help tips and information about identity protection at this site.</w:t>
      </w:r>
    </w:p>
    <w:p w14:paraId="711608F2" w14:textId="77777777" w:rsidR="006638D9" w:rsidRDefault="006638D9" w:rsidP="006638D9">
      <w:pPr>
        <w:rPr>
          <w:rFonts w:ascii="Calibri" w:hAnsi="Calibri" w:cs="Arial"/>
          <w:color w:val="0000FF"/>
        </w:rPr>
      </w:pPr>
    </w:p>
    <w:p w14:paraId="75621D47" w14:textId="77777777" w:rsidR="006638D9" w:rsidRDefault="006638D9" w:rsidP="006638D9"/>
    <w:p w14:paraId="500A2640" w14:textId="77777777" w:rsidR="006638D9" w:rsidRDefault="006638D9" w:rsidP="006638D9"/>
    <w:p w14:paraId="306A5006" w14:textId="77777777" w:rsidR="006638D9" w:rsidRDefault="006638D9" w:rsidP="006638D9"/>
    <w:p w14:paraId="798CC9CC" w14:textId="77777777" w:rsidR="006638D9" w:rsidRDefault="006638D9" w:rsidP="006638D9"/>
    <w:p w14:paraId="29268C39" w14:textId="77777777" w:rsidR="006638D9" w:rsidRDefault="006638D9" w:rsidP="006638D9"/>
    <w:p w14:paraId="46DE3CF3" w14:textId="77777777" w:rsidR="006638D9" w:rsidRDefault="006638D9" w:rsidP="006638D9"/>
    <w:p w14:paraId="56D512BD" w14:textId="77777777" w:rsidR="006638D9" w:rsidRDefault="006638D9" w:rsidP="006638D9">
      <w:r>
        <w:lastRenderedPageBreak/>
        <w:t xml:space="preserve">We want to make sure you are aware of the resources that are available to you and work with you to diminish the inconvenience you may experience.  Please do not hesitate to call us at 1-800-659-2080, and ask for Egan Hanson, Vice President of Financial Aid and Default Management, </w:t>
      </w:r>
      <w:r>
        <w:rPr>
          <w:b/>
        </w:rPr>
        <w:t>so</w:t>
      </w:r>
      <w:r>
        <w:t xml:space="preserve"> that we may continue to assist you.</w:t>
      </w:r>
    </w:p>
    <w:p w14:paraId="473CBC0B" w14:textId="77777777" w:rsidR="006638D9" w:rsidRDefault="006638D9" w:rsidP="006638D9"/>
    <w:p w14:paraId="0006D49B" w14:textId="77777777" w:rsidR="006638D9" w:rsidRDefault="006638D9" w:rsidP="006638D9"/>
    <w:p w14:paraId="2116F349" w14:textId="77777777" w:rsidR="006638D9" w:rsidRDefault="006638D9" w:rsidP="006638D9">
      <w:r>
        <w:t xml:space="preserve">Sincerely, </w:t>
      </w:r>
    </w:p>
    <w:p w14:paraId="087FFB1C" w14:textId="77777777" w:rsidR="006638D9" w:rsidRDefault="006638D9" w:rsidP="006638D9"/>
    <w:p w14:paraId="30D11C24" w14:textId="77777777" w:rsidR="006638D9" w:rsidRDefault="006638D9" w:rsidP="006638D9">
      <w:r w:rsidRPr="00481E79">
        <w:rPr>
          <w:noProof/>
        </w:rPr>
        <w:drawing>
          <wp:inline distT="0" distB="0" distL="0" distR="0" wp14:anchorId="244730D1" wp14:editId="5A287507">
            <wp:extent cx="20097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381000"/>
                    </a:xfrm>
                    <a:prstGeom prst="rect">
                      <a:avLst/>
                    </a:prstGeom>
                    <a:noFill/>
                    <a:ln>
                      <a:noFill/>
                    </a:ln>
                  </pic:spPr>
                </pic:pic>
              </a:graphicData>
            </a:graphic>
          </wp:inline>
        </w:drawing>
      </w:r>
    </w:p>
    <w:p w14:paraId="6131690B" w14:textId="77777777" w:rsidR="006638D9" w:rsidRDefault="006638D9" w:rsidP="006638D9">
      <w:pPr>
        <w:rPr>
          <w:rFonts w:ascii="Calibri" w:hAnsi="Calibri" w:cs="Calibri"/>
          <w:b/>
          <w:bCs/>
          <w:color w:val="000000"/>
        </w:rPr>
      </w:pPr>
    </w:p>
    <w:p w14:paraId="3F97AE47" w14:textId="77777777" w:rsidR="006638D9" w:rsidRDefault="006638D9" w:rsidP="006638D9">
      <w:pPr>
        <w:rPr>
          <w:rFonts w:ascii="Calibri" w:hAnsi="Calibri" w:cs="Calibri"/>
          <w:color w:val="000000"/>
        </w:rPr>
      </w:pPr>
      <w:r>
        <w:rPr>
          <w:rFonts w:ascii="Calibri" w:hAnsi="Calibri" w:cs="Calibri"/>
          <w:b/>
          <w:bCs/>
          <w:color w:val="000000"/>
        </w:rPr>
        <w:t>Pamela Van Sant</w:t>
      </w:r>
    </w:p>
    <w:p w14:paraId="3905A71F" w14:textId="77777777" w:rsidR="006638D9" w:rsidRDefault="006638D9" w:rsidP="006638D9">
      <w:pPr>
        <w:rPr>
          <w:rFonts w:ascii="Calibri" w:hAnsi="Calibri" w:cs="Calibri"/>
          <w:i/>
          <w:iCs/>
          <w:color w:val="000000"/>
          <w:sz w:val="22"/>
          <w:szCs w:val="22"/>
        </w:rPr>
      </w:pPr>
      <w:r>
        <w:rPr>
          <w:rFonts w:ascii="Calibri" w:hAnsi="Calibri" w:cs="Calibri"/>
          <w:i/>
          <w:iCs/>
          <w:color w:val="000000"/>
          <w:sz w:val="22"/>
          <w:szCs w:val="22"/>
        </w:rPr>
        <w:t>President/Chief Operating Officer</w:t>
      </w:r>
    </w:p>
    <w:p w14:paraId="28E9151F" w14:textId="77777777" w:rsidR="006638D9" w:rsidRDefault="006638D9" w:rsidP="006638D9">
      <w:pPr>
        <w:jc w:val="center"/>
        <w:rPr>
          <w:b/>
          <w:bCs/>
        </w:rPr>
      </w:pPr>
      <w:r>
        <w:rPr>
          <w:bCs/>
        </w:rPr>
        <w:t xml:space="preserve"> </w:t>
      </w:r>
      <w:r>
        <w:rPr>
          <w:bCs/>
        </w:rPr>
        <w:br w:type="page"/>
      </w:r>
      <w:r>
        <w:rPr>
          <w:b/>
          <w:bCs/>
        </w:rPr>
        <w:lastRenderedPageBreak/>
        <w:t>Additional Steps for Protection</w:t>
      </w:r>
    </w:p>
    <w:p w14:paraId="10DC1D55" w14:textId="77777777" w:rsidR="006638D9" w:rsidRDefault="006638D9" w:rsidP="006638D9">
      <w:pPr>
        <w:rPr>
          <w:bCs/>
        </w:rPr>
      </w:pPr>
    </w:p>
    <w:p w14:paraId="675DFBE6" w14:textId="77777777" w:rsidR="006638D9" w:rsidRDefault="006638D9" w:rsidP="006638D9">
      <w:pPr>
        <w:rPr>
          <w:bCs/>
        </w:rPr>
      </w:pPr>
      <w:r>
        <w:rPr>
          <w:bCs/>
        </w:rPr>
        <w:t>While we are taking actions to protect you, there are also steps you may wish to take to protect yourself and resources that may assist you.</w:t>
      </w:r>
    </w:p>
    <w:p w14:paraId="1B95A556" w14:textId="77777777" w:rsidR="006638D9" w:rsidRDefault="006638D9" w:rsidP="006638D9"/>
    <w:p w14:paraId="56F4949B" w14:textId="77777777" w:rsidR="006638D9" w:rsidRDefault="006638D9" w:rsidP="006638D9">
      <w:r>
        <w:t>You should be vigilant for the next 12 to 24 months, for example, by carefully reviewing your credit reports and bank, credit card and other account statements.  If you discover suspicious activity on your credit report, your accounts or by any other means, you may wish to contact law enforcement and file a police report of identity theft.  Also, please notify us of any suspicious activity.</w:t>
      </w:r>
    </w:p>
    <w:p w14:paraId="7FF5D945" w14:textId="77777777" w:rsidR="006638D9" w:rsidRDefault="006638D9" w:rsidP="006638D9">
      <w:r>
        <w:rPr>
          <w:bCs/>
        </w:rPr>
        <w:t xml:space="preserve">  </w:t>
      </w:r>
    </w:p>
    <w:p w14:paraId="159D198A" w14:textId="77777777" w:rsidR="006638D9" w:rsidRDefault="006638D9" w:rsidP="006638D9">
      <w:r>
        <w:t>You may contact the fraud departments of the three major credit reporting agencies to discuss your options.  You have the right to place a free 90-day fraud alert on your credit file.  A fraud alert lets creditors know to contact you before opening new accounts.  It also may delay your ability to obtain credit.  To place a fraud alert on your credit report contact the three credit reporting agencies below.</w:t>
      </w:r>
    </w:p>
    <w:p w14:paraId="46E98525" w14:textId="77777777" w:rsidR="006638D9" w:rsidRDefault="006638D9" w:rsidP="006638D9"/>
    <w:tbl>
      <w:tblPr>
        <w:tblW w:w="8280" w:type="dxa"/>
        <w:tblLook w:val="00A0" w:firstRow="1" w:lastRow="0" w:firstColumn="1" w:lastColumn="0" w:noHBand="0" w:noVBand="0"/>
      </w:tblPr>
      <w:tblGrid>
        <w:gridCol w:w="2957"/>
        <w:gridCol w:w="2925"/>
        <w:gridCol w:w="2398"/>
      </w:tblGrid>
      <w:tr w:rsidR="006638D9" w14:paraId="619E1059" w14:textId="77777777" w:rsidTr="005D3EC4">
        <w:trPr>
          <w:trHeight w:val="1521"/>
        </w:trPr>
        <w:tc>
          <w:tcPr>
            <w:tcW w:w="2957" w:type="dxa"/>
          </w:tcPr>
          <w:p w14:paraId="07A5B742" w14:textId="77777777" w:rsidR="006638D9" w:rsidRDefault="006638D9" w:rsidP="005D3EC4">
            <w:pPr>
              <w:rPr>
                <w:rFonts w:ascii="Arial" w:hAnsi="Arial" w:cs="Arial"/>
                <w:b/>
                <w:color w:val="000000"/>
                <w:sz w:val="22"/>
                <w:szCs w:val="22"/>
              </w:rPr>
            </w:pPr>
            <w:r>
              <w:rPr>
                <w:rFonts w:ascii="Arial" w:hAnsi="Arial" w:cs="Arial"/>
                <w:b/>
                <w:color w:val="000000"/>
                <w:sz w:val="22"/>
                <w:szCs w:val="22"/>
              </w:rPr>
              <w:t xml:space="preserve">Equifax Credit </w:t>
            </w:r>
          </w:p>
          <w:p w14:paraId="7B741825" w14:textId="77777777" w:rsidR="006638D9" w:rsidRDefault="006638D9" w:rsidP="005D3EC4">
            <w:pPr>
              <w:rPr>
                <w:rFonts w:ascii="Arial" w:hAnsi="Arial" w:cs="Arial"/>
                <w:color w:val="000000"/>
                <w:sz w:val="22"/>
                <w:szCs w:val="22"/>
              </w:rPr>
            </w:pPr>
            <w:r>
              <w:rPr>
                <w:rFonts w:ascii="Arial" w:hAnsi="Arial" w:cs="Arial"/>
                <w:b/>
                <w:color w:val="000000"/>
                <w:sz w:val="22"/>
                <w:szCs w:val="22"/>
              </w:rPr>
              <w:t>Information Services, Inc.</w:t>
            </w:r>
            <w:r>
              <w:rPr>
                <w:rFonts w:ascii="Arial" w:hAnsi="Arial" w:cs="Arial"/>
                <w:b/>
                <w:color w:val="000000"/>
                <w:sz w:val="22"/>
                <w:szCs w:val="22"/>
              </w:rPr>
              <w:br/>
            </w:r>
            <w:r>
              <w:rPr>
                <w:rFonts w:ascii="Arial" w:hAnsi="Arial" w:cs="Arial"/>
                <w:color w:val="000000"/>
                <w:sz w:val="22"/>
                <w:szCs w:val="22"/>
              </w:rPr>
              <w:t>P.O. Box 105788</w:t>
            </w:r>
            <w:r>
              <w:rPr>
                <w:rFonts w:ascii="Arial" w:hAnsi="Arial" w:cs="Arial"/>
                <w:color w:val="000000"/>
                <w:sz w:val="22"/>
                <w:szCs w:val="22"/>
              </w:rPr>
              <w:br/>
              <w:t>Atlanta, GA 30348</w:t>
            </w:r>
          </w:p>
          <w:p w14:paraId="2FCF33FC" w14:textId="77777777" w:rsidR="006638D9" w:rsidRDefault="006638D9" w:rsidP="005D3EC4">
            <w:pPr>
              <w:rPr>
                <w:rFonts w:ascii="Arial" w:hAnsi="Arial" w:cs="Arial"/>
                <w:color w:val="000000"/>
                <w:sz w:val="22"/>
                <w:szCs w:val="22"/>
              </w:rPr>
            </w:pPr>
            <w:r>
              <w:rPr>
                <w:rFonts w:ascii="Arial" w:hAnsi="Arial" w:cs="Arial"/>
                <w:color w:val="000000"/>
                <w:sz w:val="22"/>
                <w:szCs w:val="22"/>
              </w:rPr>
              <w:t>(888) 766-0008</w:t>
            </w:r>
          </w:p>
          <w:p w14:paraId="3B0A1DCB" w14:textId="77777777" w:rsidR="006638D9" w:rsidRDefault="006638D9" w:rsidP="005D3EC4">
            <w:pPr>
              <w:rPr>
                <w:rFonts w:ascii="Arial" w:hAnsi="Arial" w:cs="Arial"/>
                <w:color w:val="000000"/>
                <w:sz w:val="22"/>
                <w:szCs w:val="22"/>
              </w:rPr>
            </w:pPr>
            <w:r>
              <w:rPr>
                <w:rFonts w:ascii="Arial" w:hAnsi="Arial" w:cs="Arial"/>
                <w:color w:val="000000"/>
                <w:sz w:val="22"/>
                <w:szCs w:val="22"/>
              </w:rPr>
              <w:t>www.equifax.com</w:t>
            </w:r>
          </w:p>
        </w:tc>
        <w:tc>
          <w:tcPr>
            <w:tcW w:w="2925" w:type="dxa"/>
          </w:tcPr>
          <w:p w14:paraId="0E25C705" w14:textId="77777777" w:rsidR="006638D9" w:rsidRDefault="006638D9" w:rsidP="005D3EC4">
            <w:pPr>
              <w:rPr>
                <w:rFonts w:ascii="Arial" w:hAnsi="Arial" w:cs="Arial"/>
                <w:color w:val="000000"/>
                <w:sz w:val="22"/>
                <w:szCs w:val="22"/>
              </w:rPr>
            </w:pPr>
            <w:r>
              <w:rPr>
                <w:rFonts w:ascii="Arial" w:hAnsi="Arial" w:cs="Arial"/>
                <w:b/>
                <w:color w:val="000000"/>
                <w:sz w:val="22"/>
                <w:szCs w:val="22"/>
              </w:rPr>
              <w:t>Experian</w:t>
            </w:r>
            <w:r>
              <w:rPr>
                <w:rFonts w:ascii="Arial" w:hAnsi="Arial" w:cs="Arial"/>
                <w:color w:val="000000"/>
                <w:sz w:val="22"/>
                <w:szCs w:val="22"/>
              </w:rPr>
              <w:br/>
              <w:t>P.O. Box 9554</w:t>
            </w:r>
            <w:r>
              <w:rPr>
                <w:rFonts w:ascii="Arial" w:hAnsi="Arial" w:cs="Arial"/>
                <w:color w:val="000000"/>
                <w:sz w:val="22"/>
                <w:szCs w:val="22"/>
              </w:rPr>
              <w:br/>
              <w:t>Allen, TX 75013</w:t>
            </w:r>
          </w:p>
          <w:p w14:paraId="5A50CF3A" w14:textId="77777777" w:rsidR="006638D9" w:rsidRDefault="006638D9" w:rsidP="005D3EC4">
            <w:pPr>
              <w:rPr>
                <w:rFonts w:ascii="Arial" w:hAnsi="Arial" w:cs="Arial"/>
                <w:color w:val="000000"/>
                <w:sz w:val="22"/>
                <w:szCs w:val="22"/>
              </w:rPr>
            </w:pPr>
            <w:r>
              <w:rPr>
                <w:rFonts w:ascii="Arial" w:hAnsi="Arial" w:cs="Arial"/>
                <w:color w:val="000000"/>
                <w:sz w:val="22"/>
                <w:szCs w:val="22"/>
              </w:rPr>
              <w:t>(888) 397-3742</w:t>
            </w:r>
          </w:p>
          <w:p w14:paraId="692AB7B0" w14:textId="77777777" w:rsidR="006638D9" w:rsidRDefault="006638D9" w:rsidP="005D3EC4">
            <w:pPr>
              <w:rPr>
                <w:rFonts w:ascii="Arial" w:hAnsi="Arial" w:cs="Arial"/>
                <w:color w:val="000000"/>
                <w:sz w:val="22"/>
                <w:szCs w:val="22"/>
              </w:rPr>
            </w:pPr>
            <w:r>
              <w:rPr>
                <w:rFonts w:ascii="Arial" w:hAnsi="Arial" w:cs="Arial"/>
                <w:color w:val="000000"/>
                <w:sz w:val="22"/>
                <w:szCs w:val="22"/>
              </w:rPr>
              <w:t>www.experian.com</w:t>
            </w:r>
          </w:p>
        </w:tc>
        <w:tc>
          <w:tcPr>
            <w:tcW w:w="2398" w:type="dxa"/>
          </w:tcPr>
          <w:p w14:paraId="26D5D00D" w14:textId="77777777" w:rsidR="006638D9" w:rsidRDefault="006638D9" w:rsidP="005D3EC4">
            <w:pPr>
              <w:rPr>
                <w:rFonts w:ascii="Arial" w:hAnsi="Arial" w:cs="Arial"/>
                <w:b/>
                <w:color w:val="000000"/>
                <w:sz w:val="22"/>
                <w:szCs w:val="22"/>
              </w:rPr>
            </w:pPr>
            <w:r>
              <w:rPr>
                <w:rFonts w:ascii="Arial" w:hAnsi="Arial" w:cs="Arial"/>
                <w:b/>
                <w:color w:val="000000"/>
                <w:sz w:val="22"/>
                <w:szCs w:val="22"/>
              </w:rPr>
              <w:t xml:space="preserve">TransUnion Fraud </w:t>
            </w:r>
          </w:p>
          <w:p w14:paraId="739B58E3" w14:textId="77777777" w:rsidR="006638D9" w:rsidRDefault="006638D9" w:rsidP="005D3EC4">
            <w:pPr>
              <w:rPr>
                <w:rFonts w:ascii="Arial" w:hAnsi="Arial" w:cs="Arial"/>
                <w:color w:val="000000"/>
                <w:sz w:val="22"/>
                <w:szCs w:val="22"/>
              </w:rPr>
            </w:pPr>
            <w:r>
              <w:rPr>
                <w:rFonts w:ascii="Arial" w:hAnsi="Arial" w:cs="Arial"/>
                <w:b/>
                <w:color w:val="000000"/>
                <w:sz w:val="22"/>
                <w:szCs w:val="22"/>
              </w:rPr>
              <w:t>Victim Assistance Department</w:t>
            </w:r>
            <w:r>
              <w:rPr>
                <w:rFonts w:ascii="Arial" w:hAnsi="Arial" w:cs="Arial"/>
                <w:color w:val="000000"/>
                <w:sz w:val="22"/>
                <w:szCs w:val="22"/>
              </w:rPr>
              <w:br/>
              <w:t>P.O. Box 6790</w:t>
            </w:r>
            <w:r>
              <w:rPr>
                <w:rFonts w:ascii="Arial" w:hAnsi="Arial" w:cs="Arial"/>
                <w:color w:val="000000"/>
                <w:sz w:val="22"/>
                <w:szCs w:val="22"/>
              </w:rPr>
              <w:br/>
              <w:t>Fullerton, CA 92834</w:t>
            </w:r>
          </w:p>
          <w:p w14:paraId="29ADF853" w14:textId="77777777" w:rsidR="006638D9" w:rsidRDefault="006638D9" w:rsidP="005D3EC4">
            <w:pPr>
              <w:rPr>
                <w:rFonts w:ascii="Arial" w:hAnsi="Arial" w:cs="Arial"/>
                <w:color w:val="000000"/>
                <w:sz w:val="22"/>
                <w:szCs w:val="22"/>
              </w:rPr>
            </w:pPr>
            <w:r>
              <w:rPr>
                <w:rFonts w:ascii="Arial" w:hAnsi="Arial" w:cs="Arial"/>
                <w:color w:val="000000"/>
                <w:sz w:val="22"/>
                <w:szCs w:val="22"/>
              </w:rPr>
              <w:t>(800) 680-7289</w:t>
            </w:r>
          </w:p>
          <w:p w14:paraId="121C455F" w14:textId="77777777" w:rsidR="006638D9" w:rsidRDefault="006638D9" w:rsidP="005D3EC4">
            <w:pPr>
              <w:rPr>
                <w:rFonts w:ascii="Arial" w:hAnsi="Arial" w:cs="Arial"/>
                <w:b/>
                <w:color w:val="000000"/>
                <w:sz w:val="22"/>
                <w:szCs w:val="22"/>
              </w:rPr>
            </w:pPr>
            <w:r>
              <w:rPr>
                <w:rFonts w:ascii="Arial" w:hAnsi="Arial" w:cs="Arial"/>
                <w:color w:val="000000"/>
                <w:sz w:val="22"/>
                <w:szCs w:val="22"/>
              </w:rPr>
              <w:t>www.transunion.com</w:t>
            </w:r>
          </w:p>
        </w:tc>
      </w:tr>
    </w:tbl>
    <w:p w14:paraId="07E60113" w14:textId="77777777" w:rsidR="006638D9" w:rsidRDefault="006638D9" w:rsidP="006638D9"/>
    <w:p w14:paraId="1DC3E81B" w14:textId="77777777" w:rsidR="006638D9" w:rsidRDefault="006638D9" w:rsidP="006638D9">
      <w:pPr>
        <w:spacing w:after="120"/>
        <w:rPr>
          <w:rFonts w:eastAsia="Calibri"/>
        </w:rPr>
      </w:pPr>
      <w:r>
        <w:t xml:space="preserve">You can also obtain information from these sources about security freezes.  </w:t>
      </w:r>
      <w:r>
        <w:rPr>
          <w:rFonts w:eastAsia="Calibri"/>
        </w:rPr>
        <w:t>You have the right to put a credit freeze, also known as a security freeze, on your credit file, free of charge, so that no new credit can be opened in your name without the use of a PIN number that is issued to you when you initiate a freeze.  A security freeze is designed to prevent potential credit grantors from accessing your credit report without your consent.  If you place a security freeze, potential creditors and other third parties will not be able to get access to your credit report unless you temporarily lift the freeze.  Therefore, using a security freeze may delay your ability to obtain credit. </w:t>
      </w:r>
    </w:p>
    <w:p w14:paraId="7FAC221B" w14:textId="77777777" w:rsidR="006638D9" w:rsidRDefault="006638D9" w:rsidP="006638D9">
      <w:pPr>
        <w:spacing w:after="120"/>
        <w:rPr>
          <w:rFonts w:eastAsia="Calibri"/>
        </w:rPr>
      </w:pPr>
      <w:r>
        <w:rPr>
          <w:rFonts w:eastAsia="Calibri"/>
        </w:rPr>
        <w:t>There is no fee to place or lift a security freeze.  Unlike a fraud alert, you must separately place a security freeze on your credit file at each credit reporting company. For information and instructions to place a security freeze, contact each of the credit reporting agencies at the</w:t>
      </w:r>
      <w:r>
        <w:rPr>
          <w:rFonts w:eastAsia="Calibri"/>
          <w:spacing w:val="1"/>
        </w:rPr>
        <w:t xml:space="preserve"> </w:t>
      </w:r>
      <w:r>
        <w:rPr>
          <w:rFonts w:eastAsia="Calibri"/>
        </w:rPr>
        <w:t>addresses below:</w:t>
      </w:r>
    </w:p>
    <w:p w14:paraId="09A55EE5" w14:textId="77777777" w:rsidR="006638D9" w:rsidRDefault="006638D9" w:rsidP="006638D9">
      <w:pPr>
        <w:rPr>
          <w:rFonts w:eastAsia="Calibri"/>
        </w:rPr>
      </w:pPr>
      <w:r>
        <w:rPr>
          <w:rFonts w:eastAsia="Calibri"/>
          <w:b/>
          <w:bCs/>
        </w:rPr>
        <w:t>Experian Security Freeze</w:t>
      </w:r>
      <w:r>
        <w:rPr>
          <w:rFonts w:eastAsia="Calibri"/>
        </w:rPr>
        <w:t>, P.O. Box</w:t>
      </w:r>
      <w:r>
        <w:rPr>
          <w:rFonts w:eastAsia="Calibri"/>
          <w:spacing w:val="2"/>
        </w:rPr>
        <w:t xml:space="preserve"> </w:t>
      </w:r>
      <w:r>
        <w:rPr>
          <w:rFonts w:eastAsia="Calibri"/>
        </w:rPr>
        <w:t>9554,</w:t>
      </w:r>
      <w:r>
        <w:rPr>
          <w:rFonts w:eastAsia="Calibri"/>
          <w:spacing w:val="-3"/>
        </w:rPr>
        <w:t xml:space="preserve"> </w:t>
      </w:r>
      <w:r>
        <w:rPr>
          <w:rFonts w:eastAsia="Calibri"/>
        </w:rPr>
        <w:t xml:space="preserve">Allen, TX 75013, </w:t>
      </w:r>
      <w:hyperlink r:id="rId11" w:history="1">
        <w:r>
          <w:rPr>
            <w:rFonts w:eastAsia="Calibri"/>
          </w:rPr>
          <w:t>www.experian.com</w:t>
        </w:r>
      </w:hyperlink>
    </w:p>
    <w:p w14:paraId="28363F0D" w14:textId="77777777" w:rsidR="006638D9" w:rsidRDefault="006638D9" w:rsidP="006638D9">
      <w:pPr>
        <w:rPr>
          <w:rFonts w:eastAsia="Calibri"/>
        </w:rPr>
      </w:pPr>
      <w:r>
        <w:rPr>
          <w:rFonts w:eastAsia="Calibri"/>
          <w:b/>
          <w:bCs/>
        </w:rPr>
        <w:t>TransUnion Security Freeze</w:t>
      </w:r>
      <w:r>
        <w:rPr>
          <w:rFonts w:eastAsia="Calibri"/>
        </w:rPr>
        <w:t xml:space="preserve">, P.O. </w:t>
      </w:r>
      <w:r>
        <w:rPr>
          <w:rFonts w:eastAsia="Calibri"/>
          <w:spacing w:val="-2"/>
        </w:rPr>
        <w:t>Box</w:t>
      </w:r>
      <w:r>
        <w:rPr>
          <w:rFonts w:eastAsia="Calibri"/>
          <w:spacing w:val="2"/>
        </w:rPr>
        <w:t xml:space="preserve"> </w:t>
      </w:r>
      <w:r>
        <w:rPr>
          <w:rFonts w:eastAsia="Calibri"/>
        </w:rPr>
        <w:t xml:space="preserve">160, Woodlyn, PA 19094, </w:t>
      </w:r>
      <w:hyperlink r:id="rId12" w:history="1">
        <w:r>
          <w:rPr>
            <w:rFonts w:eastAsia="Calibri"/>
          </w:rPr>
          <w:t>www.transunion.com</w:t>
        </w:r>
      </w:hyperlink>
      <w:r>
        <w:rPr>
          <w:rFonts w:eastAsia="Calibri"/>
        </w:rPr>
        <w:t xml:space="preserve"> </w:t>
      </w:r>
    </w:p>
    <w:p w14:paraId="441D909E" w14:textId="77777777" w:rsidR="006638D9" w:rsidRDefault="006638D9" w:rsidP="006638D9">
      <w:pPr>
        <w:rPr>
          <w:rFonts w:eastAsia="Calibri"/>
        </w:rPr>
      </w:pPr>
      <w:r>
        <w:rPr>
          <w:rFonts w:eastAsia="Calibri"/>
          <w:b/>
          <w:bCs/>
        </w:rPr>
        <w:t>Equifax Security Freeze</w:t>
      </w:r>
      <w:r>
        <w:rPr>
          <w:rFonts w:eastAsia="Calibri"/>
        </w:rPr>
        <w:t>, P.O. Box</w:t>
      </w:r>
      <w:r>
        <w:rPr>
          <w:rFonts w:eastAsia="Calibri"/>
          <w:spacing w:val="2"/>
        </w:rPr>
        <w:t xml:space="preserve"> </w:t>
      </w:r>
      <w:r>
        <w:rPr>
          <w:rFonts w:eastAsia="Calibri"/>
        </w:rPr>
        <w:t xml:space="preserve">105788, Atlanta, GA 30348, </w:t>
      </w:r>
      <w:hyperlink r:id="rId13" w:history="1">
        <w:r>
          <w:rPr>
            <w:rFonts w:eastAsia="Calibri"/>
          </w:rPr>
          <w:t>www.equifax.com</w:t>
        </w:r>
      </w:hyperlink>
    </w:p>
    <w:p w14:paraId="3D41CE65" w14:textId="77777777" w:rsidR="006638D9" w:rsidRDefault="006638D9" w:rsidP="006638D9"/>
    <w:p w14:paraId="2097E018" w14:textId="77777777" w:rsidR="006638D9" w:rsidRDefault="006638D9" w:rsidP="006638D9">
      <w:pPr>
        <w:rPr>
          <w:rFonts w:eastAsia="Calibri"/>
        </w:rPr>
      </w:pPr>
      <w:r>
        <w:rPr>
          <w:rFonts w:eastAsia="Calibri"/>
        </w:rPr>
        <w:t>To request a security</w:t>
      </w:r>
      <w:r>
        <w:rPr>
          <w:rFonts w:eastAsia="Calibri"/>
          <w:spacing w:val="-5"/>
        </w:rPr>
        <w:t xml:space="preserve"> </w:t>
      </w:r>
      <w:r>
        <w:rPr>
          <w:rFonts w:eastAsia="Calibri"/>
        </w:rPr>
        <w:t>freeze,</w:t>
      </w:r>
      <w:r>
        <w:rPr>
          <w:rFonts w:eastAsia="Calibri"/>
          <w:spacing w:val="4"/>
        </w:rPr>
        <w:t xml:space="preserve"> </w:t>
      </w:r>
      <w:r>
        <w:rPr>
          <w:rFonts w:eastAsia="Calibri"/>
          <w:spacing w:val="-2"/>
        </w:rPr>
        <w:t>you</w:t>
      </w:r>
      <w:r>
        <w:rPr>
          <w:rFonts w:eastAsia="Calibri"/>
        </w:rPr>
        <w:t xml:space="preserve"> will need</w:t>
      </w:r>
      <w:r>
        <w:rPr>
          <w:rFonts w:eastAsia="Calibri"/>
          <w:spacing w:val="2"/>
        </w:rPr>
        <w:t xml:space="preserve"> </w:t>
      </w:r>
      <w:r>
        <w:rPr>
          <w:rFonts w:eastAsia="Calibri"/>
        </w:rPr>
        <w:t>to provide the following information: </w:t>
      </w:r>
    </w:p>
    <w:p w14:paraId="7D7CC5AB" w14:textId="77777777" w:rsidR="006638D9" w:rsidRDefault="006638D9" w:rsidP="006638D9">
      <w:pPr>
        <w:jc w:val="both"/>
        <w:rPr>
          <w:rFonts w:eastAsia="Calibri"/>
        </w:rPr>
      </w:pPr>
    </w:p>
    <w:p w14:paraId="36B81FDE" w14:textId="77777777" w:rsidR="006638D9" w:rsidRDefault="006638D9" w:rsidP="006638D9">
      <w:pPr>
        <w:widowControl w:val="0"/>
        <w:numPr>
          <w:ilvl w:val="0"/>
          <w:numId w:val="3"/>
        </w:numPr>
        <w:ind w:left="1080"/>
        <w:contextualSpacing/>
        <w:jc w:val="both"/>
        <w:rPr>
          <w:rFonts w:eastAsia="Calibri"/>
        </w:rPr>
      </w:pPr>
      <w:r>
        <w:rPr>
          <w:rFonts w:eastAsia="Calibri"/>
        </w:rPr>
        <w:t>Your</w:t>
      </w:r>
      <w:r>
        <w:rPr>
          <w:rFonts w:eastAsia="Calibri"/>
          <w:spacing w:val="-2"/>
        </w:rPr>
        <w:t xml:space="preserve"> </w:t>
      </w:r>
      <w:r>
        <w:rPr>
          <w:rFonts w:eastAsia="Calibri"/>
        </w:rPr>
        <w:t>full name (including</w:t>
      </w:r>
      <w:r>
        <w:rPr>
          <w:rFonts w:eastAsia="Calibri"/>
          <w:spacing w:val="-3"/>
        </w:rPr>
        <w:t xml:space="preserve"> </w:t>
      </w:r>
      <w:r>
        <w:rPr>
          <w:rFonts w:eastAsia="Calibri"/>
        </w:rPr>
        <w:t>middle initial</w:t>
      </w:r>
      <w:r>
        <w:rPr>
          <w:rFonts w:eastAsia="Calibri"/>
          <w:spacing w:val="1"/>
        </w:rPr>
        <w:t xml:space="preserve"> </w:t>
      </w:r>
      <w:r>
        <w:rPr>
          <w:rFonts w:eastAsia="Calibri"/>
        </w:rPr>
        <w:t xml:space="preserve">as well as Jr., Sr., </w:t>
      </w:r>
      <w:r>
        <w:rPr>
          <w:rFonts w:eastAsia="Calibri"/>
          <w:spacing w:val="-2"/>
        </w:rPr>
        <w:t>II,</w:t>
      </w:r>
      <w:r>
        <w:rPr>
          <w:rFonts w:eastAsia="Calibri"/>
          <w:spacing w:val="2"/>
        </w:rPr>
        <w:t xml:space="preserve"> </w:t>
      </w:r>
      <w:r>
        <w:rPr>
          <w:rFonts w:eastAsia="Calibri"/>
          <w:spacing w:val="-2"/>
        </w:rPr>
        <w:t>III,</w:t>
      </w:r>
      <w:r>
        <w:rPr>
          <w:rFonts w:eastAsia="Calibri"/>
          <w:spacing w:val="2"/>
        </w:rPr>
        <w:t xml:space="preserve"> </w:t>
      </w:r>
      <w:r>
        <w:rPr>
          <w:rFonts w:eastAsia="Calibri"/>
        </w:rPr>
        <w:t>etc.)</w:t>
      </w:r>
    </w:p>
    <w:p w14:paraId="50AB4D1B" w14:textId="77777777" w:rsidR="006638D9" w:rsidRDefault="006638D9" w:rsidP="006638D9">
      <w:pPr>
        <w:widowControl w:val="0"/>
        <w:numPr>
          <w:ilvl w:val="0"/>
          <w:numId w:val="3"/>
        </w:numPr>
        <w:ind w:left="1080"/>
        <w:contextualSpacing/>
        <w:jc w:val="both"/>
        <w:rPr>
          <w:rFonts w:eastAsia="Calibri"/>
        </w:rPr>
      </w:pPr>
      <w:r>
        <w:rPr>
          <w:rFonts w:eastAsia="Calibri"/>
        </w:rPr>
        <w:t>Social Security</w:t>
      </w:r>
      <w:r>
        <w:rPr>
          <w:rFonts w:eastAsia="Calibri"/>
          <w:spacing w:val="-5"/>
        </w:rPr>
        <w:t xml:space="preserve"> </w:t>
      </w:r>
      <w:r>
        <w:rPr>
          <w:rFonts w:eastAsia="Calibri"/>
        </w:rPr>
        <w:t>number</w:t>
      </w:r>
    </w:p>
    <w:p w14:paraId="56B9ED42" w14:textId="77777777" w:rsidR="006638D9" w:rsidRDefault="006638D9" w:rsidP="006638D9">
      <w:pPr>
        <w:widowControl w:val="0"/>
        <w:numPr>
          <w:ilvl w:val="0"/>
          <w:numId w:val="3"/>
        </w:numPr>
        <w:ind w:left="1080"/>
        <w:contextualSpacing/>
        <w:jc w:val="both"/>
        <w:rPr>
          <w:rFonts w:eastAsia="Calibri"/>
        </w:rPr>
      </w:pPr>
      <w:r>
        <w:rPr>
          <w:rFonts w:eastAsia="Calibri"/>
        </w:rPr>
        <w:t>Date of</w:t>
      </w:r>
      <w:r>
        <w:rPr>
          <w:rFonts w:eastAsia="Calibri"/>
          <w:spacing w:val="-2"/>
        </w:rPr>
        <w:t xml:space="preserve"> </w:t>
      </w:r>
      <w:r>
        <w:rPr>
          <w:rFonts w:eastAsia="Calibri"/>
        </w:rPr>
        <w:t>birth</w:t>
      </w:r>
    </w:p>
    <w:p w14:paraId="35CFDEC2" w14:textId="77777777" w:rsidR="006638D9" w:rsidRDefault="006638D9" w:rsidP="006638D9">
      <w:pPr>
        <w:widowControl w:val="0"/>
        <w:numPr>
          <w:ilvl w:val="0"/>
          <w:numId w:val="3"/>
        </w:numPr>
        <w:ind w:left="1080"/>
        <w:contextualSpacing/>
        <w:jc w:val="both"/>
        <w:rPr>
          <w:rFonts w:eastAsia="Calibri"/>
        </w:rPr>
      </w:pPr>
      <w:r>
        <w:rPr>
          <w:rFonts w:eastAsia="Calibri"/>
          <w:spacing w:val="-2"/>
        </w:rPr>
        <w:lastRenderedPageBreak/>
        <w:t>If</w:t>
      </w:r>
      <w:r>
        <w:rPr>
          <w:rFonts w:eastAsia="Calibri"/>
          <w:spacing w:val="6"/>
        </w:rPr>
        <w:t xml:space="preserve"> </w:t>
      </w:r>
      <w:r>
        <w:rPr>
          <w:rFonts w:eastAsia="Calibri"/>
          <w:spacing w:val="-2"/>
        </w:rPr>
        <w:t>you</w:t>
      </w:r>
      <w:r>
        <w:rPr>
          <w:rFonts w:eastAsia="Calibri"/>
        </w:rPr>
        <w:t xml:space="preserve"> have moved in the</w:t>
      </w:r>
      <w:r>
        <w:rPr>
          <w:rFonts w:eastAsia="Calibri"/>
          <w:spacing w:val="1"/>
        </w:rPr>
        <w:t xml:space="preserve"> </w:t>
      </w:r>
      <w:r>
        <w:rPr>
          <w:rFonts w:eastAsia="Calibri"/>
        </w:rPr>
        <w:t>past five years, provide</w:t>
      </w:r>
      <w:r>
        <w:rPr>
          <w:rFonts w:eastAsia="Calibri"/>
          <w:spacing w:val="-2"/>
        </w:rPr>
        <w:t xml:space="preserve"> </w:t>
      </w:r>
      <w:r>
        <w:rPr>
          <w:rFonts w:eastAsia="Calibri"/>
        </w:rPr>
        <w:t>the addresses where</w:t>
      </w:r>
      <w:r>
        <w:rPr>
          <w:rFonts w:eastAsia="Calibri"/>
          <w:spacing w:val="2"/>
        </w:rPr>
        <w:t xml:space="preserve"> </w:t>
      </w:r>
      <w:r>
        <w:rPr>
          <w:rFonts w:eastAsia="Calibri"/>
        </w:rPr>
        <w:t>you</w:t>
      </w:r>
      <w:r>
        <w:rPr>
          <w:rFonts w:eastAsia="Calibri"/>
          <w:spacing w:val="37"/>
        </w:rPr>
        <w:t xml:space="preserve"> </w:t>
      </w:r>
      <w:r>
        <w:rPr>
          <w:rFonts w:eastAsia="Calibri"/>
        </w:rPr>
        <w:t>have lived over the prior</w:t>
      </w:r>
      <w:r>
        <w:rPr>
          <w:rFonts w:eastAsia="Calibri"/>
          <w:spacing w:val="1"/>
        </w:rPr>
        <w:t xml:space="preserve"> </w:t>
      </w:r>
      <w:r>
        <w:rPr>
          <w:rFonts w:eastAsia="Calibri"/>
        </w:rPr>
        <w:t>five years</w:t>
      </w:r>
    </w:p>
    <w:p w14:paraId="02A193E5" w14:textId="77777777" w:rsidR="006638D9" w:rsidRDefault="006638D9" w:rsidP="006638D9">
      <w:pPr>
        <w:widowControl w:val="0"/>
        <w:numPr>
          <w:ilvl w:val="0"/>
          <w:numId w:val="3"/>
        </w:numPr>
        <w:ind w:left="1080"/>
        <w:contextualSpacing/>
        <w:jc w:val="both"/>
        <w:rPr>
          <w:rFonts w:eastAsia="Calibri"/>
        </w:rPr>
      </w:pPr>
      <w:r>
        <w:rPr>
          <w:rFonts w:eastAsia="Calibri"/>
        </w:rPr>
        <w:t>Proof</w:t>
      </w:r>
      <w:r>
        <w:rPr>
          <w:rFonts w:eastAsia="Calibri"/>
          <w:spacing w:val="-2"/>
        </w:rPr>
        <w:t xml:space="preserve"> </w:t>
      </w:r>
      <w:r>
        <w:rPr>
          <w:rFonts w:eastAsia="Calibri"/>
        </w:rPr>
        <w:t>of current address</w:t>
      </w:r>
      <w:r>
        <w:rPr>
          <w:rFonts w:eastAsia="Calibri"/>
          <w:spacing w:val="2"/>
        </w:rPr>
        <w:t xml:space="preserve"> </w:t>
      </w:r>
      <w:r>
        <w:rPr>
          <w:rFonts w:eastAsia="Calibri"/>
        </w:rPr>
        <w:t>such as a current utility</w:t>
      </w:r>
      <w:r>
        <w:rPr>
          <w:rFonts w:eastAsia="Calibri"/>
          <w:spacing w:val="-5"/>
        </w:rPr>
        <w:t xml:space="preserve"> </w:t>
      </w:r>
      <w:r>
        <w:rPr>
          <w:rFonts w:eastAsia="Calibri"/>
        </w:rPr>
        <w:t>bill or telephone</w:t>
      </w:r>
      <w:r>
        <w:rPr>
          <w:rFonts w:eastAsia="Calibri"/>
          <w:spacing w:val="2"/>
        </w:rPr>
        <w:t xml:space="preserve"> </w:t>
      </w:r>
      <w:r>
        <w:rPr>
          <w:rFonts w:eastAsia="Calibri"/>
        </w:rPr>
        <w:t>bill</w:t>
      </w:r>
    </w:p>
    <w:p w14:paraId="0BB35C63" w14:textId="77777777" w:rsidR="006638D9" w:rsidRDefault="006638D9" w:rsidP="006638D9">
      <w:pPr>
        <w:widowControl w:val="0"/>
        <w:numPr>
          <w:ilvl w:val="0"/>
          <w:numId w:val="3"/>
        </w:numPr>
        <w:ind w:left="1080"/>
        <w:contextualSpacing/>
        <w:jc w:val="both"/>
        <w:rPr>
          <w:rFonts w:eastAsia="Calibri"/>
        </w:rPr>
      </w:pPr>
      <w:r>
        <w:rPr>
          <w:rFonts w:eastAsia="Calibri"/>
        </w:rPr>
        <w:t>A legible photocopy</w:t>
      </w:r>
      <w:r>
        <w:rPr>
          <w:rFonts w:eastAsia="Calibri"/>
          <w:spacing w:val="-5"/>
        </w:rPr>
        <w:t xml:space="preserve"> </w:t>
      </w:r>
      <w:r>
        <w:rPr>
          <w:rFonts w:eastAsia="Calibri"/>
        </w:rPr>
        <w:t>of a government issued identification card (state driver's</w:t>
      </w:r>
      <w:r>
        <w:rPr>
          <w:rFonts w:eastAsia="Calibri"/>
          <w:spacing w:val="69"/>
        </w:rPr>
        <w:t xml:space="preserve"> </w:t>
      </w:r>
      <w:r>
        <w:rPr>
          <w:rFonts w:eastAsia="Calibri"/>
        </w:rPr>
        <w:t>license or</w:t>
      </w:r>
      <w:r>
        <w:rPr>
          <w:rFonts w:eastAsia="Calibri"/>
          <w:spacing w:val="1"/>
        </w:rPr>
        <w:t xml:space="preserve"> </w:t>
      </w:r>
      <w:r>
        <w:rPr>
          <w:rFonts w:eastAsia="Calibri"/>
          <w:spacing w:val="-2"/>
        </w:rPr>
        <w:t>ID</w:t>
      </w:r>
      <w:r>
        <w:rPr>
          <w:rFonts w:eastAsia="Calibri"/>
          <w:spacing w:val="1"/>
        </w:rPr>
        <w:t xml:space="preserve"> </w:t>
      </w:r>
      <w:r>
        <w:rPr>
          <w:rFonts w:eastAsia="Calibri"/>
        </w:rPr>
        <w:t>card, military</w:t>
      </w:r>
      <w:r>
        <w:rPr>
          <w:rFonts w:eastAsia="Calibri"/>
          <w:spacing w:val="-5"/>
        </w:rPr>
        <w:t xml:space="preserve"> </w:t>
      </w:r>
      <w:r>
        <w:rPr>
          <w:rFonts w:eastAsia="Calibri"/>
        </w:rPr>
        <w:t>identification, etc.)</w:t>
      </w:r>
    </w:p>
    <w:p w14:paraId="7AEBEB2D" w14:textId="77777777" w:rsidR="006638D9" w:rsidRDefault="006638D9" w:rsidP="006638D9">
      <w:pPr>
        <w:widowControl w:val="0"/>
        <w:numPr>
          <w:ilvl w:val="0"/>
          <w:numId w:val="3"/>
        </w:numPr>
        <w:ind w:left="1080"/>
        <w:contextualSpacing/>
        <w:jc w:val="both"/>
        <w:rPr>
          <w:rFonts w:eastAsia="Calibri"/>
        </w:rPr>
      </w:pPr>
      <w:r>
        <w:rPr>
          <w:rFonts w:eastAsia="Calibri"/>
          <w:spacing w:val="-2"/>
        </w:rPr>
        <w:t>If</w:t>
      </w:r>
      <w:r>
        <w:rPr>
          <w:rFonts w:eastAsia="Calibri"/>
          <w:spacing w:val="6"/>
        </w:rPr>
        <w:t xml:space="preserve"> </w:t>
      </w:r>
      <w:r>
        <w:rPr>
          <w:rFonts w:eastAsia="Calibri"/>
          <w:spacing w:val="-2"/>
        </w:rPr>
        <w:t>you</w:t>
      </w:r>
      <w:r>
        <w:rPr>
          <w:rFonts w:eastAsia="Calibri"/>
        </w:rPr>
        <w:t xml:space="preserve"> are a victim of identity</w:t>
      </w:r>
      <w:r>
        <w:rPr>
          <w:rFonts w:eastAsia="Calibri"/>
          <w:spacing w:val="-8"/>
        </w:rPr>
        <w:t xml:space="preserve"> </w:t>
      </w:r>
      <w:r>
        <w:rPr>
          <w:rFonts w:eastAsia="Calibri"/>
        </w:rPr>
        <w:t>theft, include a copy</w:t>
      </w:r>
      <w:r>
        <w:rPr>
          <w:rFonts w:eastAsia="Calibri"/>
          <w:spacing w:val="-3"/>
        </w:rPr>
        <w:t xml:space="preserve"> </w:t>
      </w:r>
      <w:r>
        <w:rPr>
          <w:rFonts w:eastAsia="Calibri"/>
        </w:rPr>
        <w:t>of the</w:t>
      </w:r>
      <w:r>
        <w:rPr>
          <w:rFonts w:eastAsia="Calibri"/>
          <w:spacing w:val="-2"/>
        </w:rPr>
        <w:t xml:space="preserve"> </w:t>
      </w:r>
      <w:r>
        <w:rPr>
          <w:rFonts w:eastAsia="Calibri"/>
        </w:rPr>
        <w:t>police report,</w:t>
      </w:r>
      <w:r>
        <w:rPr>
          <w:rFonts w:eastAsia="Calibri"/>
          <w:spacing w:val="24"/>
        </w:rPr>
        <w:t xml:space="preserve"> </w:t>
      </w:r>
      <w:r>
        <w:rPr>
          <w:rFonts w:eastAsia="Calibri"/>
        </w:rPr>
        <w:t>investigative report, or</w:t>
      </w:r>
      <w:r>
        <w:rPr>
          <w:rFonts w:eastAsia="Calibri"/>
          <w:spacing w:val="1"/>
        </w:rPr>
        <w:t xml:space="preserve"> </w:t>
      </w:r>
      <w:r>
        <w:rPr>
          <w:rFonts w:eastAsia="Calibri"/>
        </w:rPr>
        <w:t>complaint to a law</w:t>
      </w:r>
      <w:r>
        <w:rPr>
          <w:rFonts w:eastAsia="Calibri"/>
          <w:spacing w:val="2"/>
        </w:rPr>
        <w:t xml:space="preserve"> </w:t>
      </w:r>
      <w:r>
        <w:rPr>
          <w:rFonts w:eastAsia="Calibri"/>
        </w:rPr>
        <w:t>enforcement agency</w:t>
      </w:r>
      <w:r>
        <w:rPr>
          <w:rFonts w:eastAsia="Calibri"/>
          <w:spacing w:val="-3"/>
        </w:rPr>
        <w:t xml:space="preserve"> </w:t>
      </w:r>
      <w:r>
        <w:rPr>
          <w:rFonts w:eastAsia="Calibri"/>
        </w:rPr>
        <w:t>concerning</w:t>
      </w:r>
      <w:r>
        <w:rPr>
          <w:rFonts w:eastAsia="Calibri"/>
          <w:spacing w:val="63"/>
        </w:rPr>
        <w:t xml:space="preserve"> </w:t>
      </w:r>
      <w:r>
        <w:rPr>
          <w:rFonts w:eastAsia="Calibri"/>
        </w:rPr>
        <w:t>identity</w:t>
      </w:r>
      <w:r>
        <w:rPr>
          <w:rFonts w:eastAsia="Calibri"/>
          <w:spacing w:val="-5"/>
        </w:rPr>
        <w:t xml:space="preserve"> </w:t>
      </w:r>
      <w:r>
        <w:rPr>
          <w:rFonts w:eastAsia="Calibri"/>
        </w:rPr>
        <w:t>theft</w:t>
      </w:r>
    </w:p>
    <w:p w14:paraId="47AA0A6F" w14:textId="77777777" w:rsidR="006638D9" w:rsidRDefault="006638D9" w:rsidP="006638D9">
      <w:pPr>
        <w:ind w:left="360"/>
        <w:jc w:val="both"/>
        <w:rPr>
          <w:rFonts w:eastAsia="Calibri"/>
        </w:rPr>
      </w:pPr>
      <w:r>
        <w:rPr>
          <w:rFonts w:eastAsia="Calibri"/>
        </w:rPr>
        <w:t> </w:t>
      </w:r>
    </w:p>
    <w:p w14:paraId="615F2102" w14:textId="77777777" w:rsidR="006638D9" w:rsidRDefault="006638D9" w:rsidP="006638D9">
      <w:pPr>
        <w:rPr>
          <w:rFonts w:eastAsia="Calibri"/>
        </w:rPr>
      </w:pPr>
      <w:r>
        <w:rPr>
          <w:rFonts w:eastAsia="Calibri"/>
        </w:rPr>
        <w:t>The</w:t>
      </w:r>
      <w:r>
        <w:rPr>
          <w:rFonts w:eastAsia="Calibri"/>
          <w:spacing w:val="-2"/>
        </w:rPr>
        <w:t xml:space="preserve"> </w:t>
      </w:r>
      <w:r>
        <w:rPr>
          <w:rFonts w:eastAsia="Calibri"/>
        </w:rPr>
        <w:t>credit reporting</w:t>
      </w:r>
      <w:r>
        <w:rPr>
          <w:rFonts w:eastAsia="Calibri"/>
          <w:spacing w:val="-3"/>
        </w:rPr>
        <w:t xml:space="preserve"> </w:t>
      </w:r>
      <w:r>
        <w:rPr>
          <w:rFonts w:eastAsia="Calibri"/>
        </w:rPr>
        <w:t>agencies have one business day after receiving your request by toll-free telephone or secure electronic means, or three business days</w:t>
      </w:r>
      <w:r>
        <w:rPr>
          <w:rFonts w:eastAsia="Calibri"/>
          <w:spacing w:val="2"/>
        </w:rPr>
        <w:t xml:space="preserve"> </w:t>
      </w:r>
      <w:r>
        <w:rPr>
          <w:rFonts w:eastAsia="Calibri"/>
        </w:rPr>
        <w:t>after</w:t>
      </w:r>
      <w:r>
        <w:rPr>
          <w:rFonts w:eastAsia="Calibri"/>
          <w:spacing w:val="1"/>
        </w:rPr>
        <w:t xml:space="preserve"> </w:t>
      </w:r>
      <w:r>
        <w:rPr>
          <w:rFonts w:eastAsia="Calibri"/>
        </w:rPr>
        <w:t>receiving</w:t>
      </w:r>
      <w:r>
        <w:rPr>
          <w:rFonts w:eastAsia="Calibri"/>
          <w:spacing w:val="2"/>
        </w:rPr>
        <w:t xml:space="preserve"> </w:t>
      </w:r>
      <w:r>
        <w:rPr>
          <w:rFonts w:eastAsia="Calibri"/>
        </w:rPr>
        <w:t>your request by mail, to place a</w:t>
      </w:r>
      <w:r>
        <w:rPr>
          <w:rFonts w:eastAsia="Calibri"/>
          <w:spacing w:val="47"/>
        </w:rPr>
        <w:t xml:space="preserve"> </w:t>
      </w:r>
      <w:r>
        <w:rPr>
          <w:rFonts w:eastAsia="Calibri"/>
        </w:rPr>
        <w:t>security</w:t>
      </w:r>
      <w:r>
        <w:rPr>
          <w:rFonts w:eastAsia="Calibri"/>
          <w:spacing w:val="-5"/>
        </w:rPr>
        <w:t xml:space="preserve"> </w:t>
      </w:r>
      <w:r>
        <w:rPr>
          <w:rFonts w:eastAsia="Calibri"/>
        </w:rPr>
        <w:t>freeze on</w:t>
      </w:r>
      <w:r>
        <w:rPr>
          <w:rFonts w:eastAsia="Calibri"/>
          <w:spacing w:val="4"/>
        </w:rPr>
        <w:t xml:space="preserve"> </w:t>
      </w:r>
      <w:r>
        <w:rPr>
          <w:rFonts w:eastAsia="Calibri"/>
          <w:spacing w:val="-2"/>
        </w:rPr>
        <w:t>your</w:t>
      </w:r>
      <w:r>
        <w:rPr>
          <w:rFonts w:eastAsia="Calibri"/>
        </w:rPr>
        <w:t xml:space="preserve"> credit report. The credit bureaus must also send written confirmation to</w:t>
      </w:r>
      <w:r>
        <w:rPr>
          <w:rFonts w:eastAsia="Calibri"/>
          <w:spacing w:val="69"/>
        </w:rPr>
        <w:t xml:space="preserve"> </w:t>
      </w:r>
      <w:r>
        <w:rPr>
          <w:rFonts w:eastAsia="Calibri"/>
        </w:rPr>
        <w:t>you within five business days and provide</w:t>
      </w:r>
      <w:r>
        <w:rPr>
          <w:rFonts w:eastAsia="Calibri"/>
          <w:spacing w:val="4"/>
        </w:rPr>
        <w:t xml:space="preserve"> </w:t>
      </w:r>
      <w:r>
        <w:rPr>
          <w:rFonts w:eastAsia="Calibri"/>
          <w:spacing w:val="-2"/>
        </w:rPr>
        <w:t>you</w:t>
      </w:r>
      <w:r>
        <w:rPr>
          <w:rFonts w:eastAsia="Calibri"/>
          <w:spacing w:val="2"/>
        </w:rPr>
        <w:t xml:space="preserve"> </w:t>
      </w:r>
      <w:r>
        <w:rPr>
          <w:rFonts w:eastAsia="Calibri"/>
        </w:rPr>
        <w:t>with a unique personal identification number</w:t>
      </w:r>
      <w:r>
        <w:rPr>
          <w:rFonts w:eastAsia="Calibri"/>
          <w:spacing w:val="76"/>
        </w:rPr>
        <w:t xml:space="preserve"> </w:t>
      </w:r>
      <w:r>
        <w:rPr>
          <w:rFonts w:eastAsia="Calibri"/>
        </w:rPr>
        <w:t xml:space="preserve">(“PIN”) or password </w:t>
      </w:r>
      <w:r>
        <w:rPr>
          <w:rFonts w:eastAsia="Calibri"/>
          <w:spacing w:val="1"/>
        </w:rPr>
        <w:t>or</w:t>
      </w:r>
      <w:r>
        <w:rPr>
          <w:rFonts w:eastAsia="Calibri"/>
        </w:rPr>
        <w:t xml:space="preserve"> both that can be used </w:t>
      </w:r>
      <w:r>
        <w:rPr>
          <w:rFonts w:eastAsia="Calibri"/>
          <w:spacing w:val="2"/>
        </w:rPr>
        <w:t>by</w:t>
      </w:r>
      <w:r>
        <w:rPr>
          <w:rFonts w:eastAsia="Calibri"/>
        </w:rPr>
        <w:t xml:space="preserve"> you to authorize the removal or lifting</w:t>
      </w:r>
      <w:r>
        <w:rPr>
          <w:rFonts w:eastAsia="Calibri"/>
          <w:spacing w:val="-3"/>
        </w:rPr>
        <w:t xml:space="preserve"> </w:t>
      </w:r>
      <w:r>
        <w:rPr>
          <w:rFonts w:eastAsia="Calibri"/>
        </w:rPr>
        <w:t>of the</w:t>
      </w:r>
      <w:r>
        <w:rPr>
          <w:rFonts w:eastAsia="Calibri"/>
          <w:spacing w:val="43"/>
        </w:rPr>
        <w:t xml:space="preserve"> </w:t>
      </w:r>
      <w:r>
        <w:rPr>
          <w:rFonts w:eastAsia="Calibri"/>
        </w:rPr>
        <w:t>security</w:t>
      </w:r>
      <w:r>
        <w:rPr>
          <w:rFonts w:eastAsia="Calibri"/>
          <w:spacing w:val="-5"/>
        </w:rPr>
        <w:t xml:space="preserve"> </w:t>
      </w:r>
      <w:r>
        <w:rPr>
          <w:rFonts w:eastAsia="Calibri"/>
        </w:rPr>
        <w:t>freeze.</w:t>
      </w:r>
    </w:p>
    <w:p w14:paraId="19823E05" w14:textId="77777777" w:rsidR="006638D9" w:rsidRDefault="006638D9" w:rsidP="006638D9">
      <w:pPr>
        <w:rPr>
          <w:rFonts w:eastAsia="Calibri"/>
        </w:rPr>
      </w:pPr>
      <w:r>
        <w:rPr>
          <w:rFonts w:eastAsia="Calibri"/>
        </w:rPr>
        <w:t> </w:t>
      </w:r>
    </w:p>
    <w:p w14:paraId="3491F5B2" w14:textId="77777777" w:rsidR="006638D9" w:rsidRDefault="006638D9" w:rsidP="006638D9">
      <w:pPr>
        <w:rPr>
          <w:rFonts w:eastAsia="Calibri"/>
        </w:rPr>
      </w:pPr>
      <w:r>
        <w:rPr>
          <w:rFonts w:eastAsia="Calibri"/>
        </w:rPr>
        <w:t>To lift the security</w:t>
      </w:r>
      <w:r>
        <w:rPr>
          <w:rFonts w:eastAsia="Calibri"/>
          <w:spacing w:val="-5"/>
        </w:rPr>
        <w:t xml:space="preserve"> </w:t>
      </w:r>
      <w:r>
        <w:rPr>
          <w:rFonts w:eastAsia="Calibri"/>
        </w:rPr>
        <w:t>freeze</w:t>
      </w:r>
      <w:r>
        <w:rPr>
          <w:rFonts w:eastAsia="Calibri"/>
          <w:spacing w:val="1"/>
        </w:rPr>
        <w:t xml:space="preserve"> </w:t>
      </w:r>
      <w:r>
        <w:rPr>
          <w:rFonts w:eastAsia="Calibri"/>
        </w:rPr>
        <w:t>in order to allow a</w:t>
      </w:r>
      <w:r>
        <w:rPr>
          <w:rFonts w:eastAsia="Calibri"/>
          <w:spacing w:val="-2"/>
        </w:rPr>
        <w:t xml:space="preserve"> </w:t>
      </w:r>
      <w:r>
        <w:rPr>
          <w:rFonts w:eastAsia="Calibri"/>
        </w:rPr>
        <w:t>specific entity</w:t>
      </w:r>
      <w:r>
        <w:rPr>
          <w:rFonts w:eastAsia="Calibri"/>
          <w:spacing w:val="-5"/>
        </w:rPr>
        <w:t xml:space="preserve"> </w:t>
      </w:r>
      <w:r>
        <w:rPr>
          <w:rFonts w:eastAsia="Calibri"/>
        </w:rPr>
        <w:t>or individual access to</w:t>
      </w:r>
      <w:r>
        <w:rPr>
          <w:rFonts w:eastAsia="Calibri"/>
          <w:spacing w:val="2"/>
        </w:rPr>
        <w:t xml:space="preserve"> </w:t>
      </w:r>
      <w:r>
        <w:rPr>
          <w:rFonts w:eastAsia="Calibri"/>
          <w:spacing w:val="-2"/>
        </w:rPr>
        <w:t>your</w:t>
      </w:r>
      <w:r>
        <w:rPr>
          <w:rFonts w:eastAsia="Calibri"/>
          <w:spacing w:val="1"/>
        </w:rPr>
        <w:t xml:space="preserve"> </w:t>
      </w:r>
      <w:r>
        <w:rPr>
          <w:rFonts w:eastAsia="Calibri"/>
        </w:rPr>
        <w:t>credit</w:t>
      </w:r>
      <w:r>
        <w:rPr>
          <w:rFonts w:eastAsia="Calibri"/>
          <w:spacing w:val="65"/>
        </w:rPr>
        <w:t xml:space="preserve"> </w:t>
      </w:r>
      <w:r>
        <w:rPr>
          <w:rFonts w:eastAsia="Calibri"/>
        </w:rPr>
        <w:t>report,</w:t>
      </w:r>
      <w:r>
        <w:rPr>
          <w:rFonts w:eastAsia="Calibri"/>
          <w:spacing w:val="4"/>
        </w:rPr>
        <w:t xml:space="preserve"> or to lift a security freeze for a specified period of time, </w:t>
      </w:r>
      <w:r>
        <w:rPr>
          <w:rFonts w:eastAsia="Calibri"/>
          <w:spacing w:val="-2"/>
        </w:rPr>
        <w:t>you</w:t>
      </w:r>
      <w:r>
        <w:rPr>
          <w:rFonts w:eastAsia="Calibri"/>
        </w:rPr>
        <w:t xml:space="preserve"> must submit a request through a toll-free telephone number, a secure electronic means maintained by a credit reporting agency, or by sending a written request via regular, certified, or overnight mail to the credit reporting</w:t>
      </w:r>
      <w:r>
        <w:rPr>
          <w:rFonts w:eastAsia="Calibri"/>
          <w:spacing w:val="-3"/>
        </w:rPr>
        <w:t xml:space="preserve"> </w:t>
      </w:r>
      <w:r>
        <w:rPr>
          <w:rFonts w:eastAsia="Calibri"/>
        </w:rPr>
        <w:t>agencies and</w:t>
      </w:r>
      <w:r>
        <w:rPr>
          <w:rFonts w:eastAsia="Calibri"/>
          <w:spacing w:val="47"/>
        </w:rPr>
        <w:t xml:space="preserve"> </w:t>
      </w:r>
      <w:r>
        <w:rPr>
          <w:rFonts w:eastAsia="Calibri"/>
        </w:rPr>
        <w:t>include proper identification (name, address, and</w:t>
      </w:r>
      <w:r>
        <w:rPr>
          <w:rFonts w:eastAsia="Calibri"/>
          <w:spacing w:val="1"/>
        </w:rPr>
        <w:t xml:space="preserve"> </w:t>
      </w:r>
      <w:r>
        <w:rPr>
          <w:rFonts w:eastAsia="Calibri"/>
        </w:rPr>
        <w:t>Social Security</w:t>
      </w:r>
      <w:r>
        <w:rPr>
          <w:rFonts w:eastAsia="Calibri"/>
          <w:spacing w:val="-5"/>
        </w:rPr>
        <w:t xml:space="preserve"> </w:t>
      </w:r>
      <w:r>
        <w:rPr>
          <w:rFonts w:eastAsia="Calibri"/>
        </w:rPr>
        <w:t>number) and the PIN number or</w:t>
      </w:r>
      <w:r>
        <w:rPr>
          <w:rFonts w:eastAsia="Calibri"/>
          <w:spacing w:val="85"/>
        </w:rPr>
        <w:t xml:space="preserve"> </w:t>
      </w:r>
      <w:r>
        <w:rPr>
          <w:rFonts w:eastAsia="Calibri"/>
        </w:rPr>
        <w:t>password provided to</w:t>
      </w:r>
      <w:r>
        <w:rPr>
          <w:rFonts w:eastAsia="Calibri"/>
          <w:spacing w:val="4"/>
        </w:rPr>
        <w:t xml:space="preserve"> </w:t>
      </w:r>
      <w:r>
        <w:rPr>
          <w:rFonts w:eastAsia="Calibri"/>
        </w:rPr>
        <w:t>you when</w:t>
      </w:r>
      <w:r>
        <w:rPr>
          <w:rFonts w:eastAsia="Calibri"/>
          <w:spacing w:val="5"/>
        </w:rPr>
        <w:t xml:space="preserve"> </w:t>
      </w:r>
      <w:r>
        <w:rPr>
          <w:rFonts w:eastAsia="Calibri"/>
          <w:spacing w:val="-2"/>
        </w:rPr>
        <w:t>you</w:t>
      </w:r>
      <w:r>
        <w:rPr>
          <w:rFonts w:eastAsia="Calibri"/>
        </w:rPr>
        <w:t xml:space="preserve"> placed the security</w:t>
      </w:r>
      <w:r>
        <w:rPr>
          <w:rFonts w:eastAsia="Calibri"/>
          <w:spacing w:val="-3"/>
        </w:rPr>
        <w:t xml:space="preserve"> </w:t>
      </w:r>
      <w:r>
        <w:rPr>
          <w:rFonts w:eastAsia="Calibri"/>
        </w:rPr>
        <w:t>freeze as well as the identity</w:t>
      </w:r>
      <w:r>
        <w:rPr>
          <w:rFonts w:eastAsia="Calibri"/>
          <w:spacing w:val="-5"/>
        </w:rPr>
        <w:t xml:space="preserve"> </w:t>
      </w:r>
      <w:r>
        <w:rPr>
          <w:rFonts w:eastAsia="Calibri"/>
        </w:rPr>
        <w:t>of those</w:t>
      </w:r>
      <w:r>
        <w:rPr>
          <w:rFonts w:eastAsia="Calibri"/>
          <w:spacing w:val="73"/>
        </w:rPr>
        <w:t xml:space="preserve"> </w:t>
      </w:r>
      <w:r>
        <w:rPr>
          <w:rFonts w:eastAsia="Calibri"/>
        </w:rPr>
        <w:t>entities or individuals</w:t>
      </w:r>
      <w:r>
        <w:rPr>
          <w:rFonts w:eastAsia="Calibri"/>
          <w:spacing w:val="2"/>
        </w:rPr>
        <w:t xml:space="preserve"> </w:t>
      </w:r>
      <w:r>
        <w:rPr>
          <w:rFonts w:eastAsia="Calibri"/>
        </w:rPr>
        <w:t>you would like to receive</w:t>
      </w:r>
      <w:r>
        <w:rPr>
          <w:rFonts w:eastAsia="Calibri"/>
          <w:spacing w:val="4"/>
        </w:rPr>
        <w:t xml:space="preserve"> </w:t>
      </w:r>
      <w:r>
        <w:rPr>
          <w:rFonts w:eastAsia="Calibri"/>
        </w:rPr>
        <w:t>your credit report or the specific period of time</w:t>
      </w:r>
      <w:r>
        <w:rPr>
          <w:rFonts w:eastAsia="Calibri"/>
          <w:spacing w:val="61"/>
        </w:rPr>
        <w:t xml:space="preserve"> </w:t>
      </w:r>
      <w:r>
        <w:rPr>
          <w:rFonts w:eastAsia="Calibri"/>
        </w:rPr>
        <w:t>you want the credit report available. The</w:t>
      </w:r>
      <w:r>
        <w:rPr>
          <w:rFonts w:eastAsia="Calibri"/>
          <w:spacing w:val="1"/>
        </w:rPr>
        <w:t xml:space="preserve"> </w:t>
      </w:r>
      <w:r>
        <w:rPr>
          <w:rFonts w:eastAsia="Calibri"/>
        </w:rPr>
        <w:t>credit reporting</w:t>
      </w:r>
      <w:r>
        <w:rPr>
          <w:rFonts w:eastAsia="Calibri"/>
          <w:spacing w:val="-3"/>
        </w:rPr>
        <w:t xml:space="preserve"> </w:t>
      </w:r>
      <w:r>
        <w:rPr>
          <w:rFonts w:eastAsia="Calibri"/>
        </w:rPr>
        <w:t>agencies have one business day after receiving your request by toll-free telephone or secure electronic means, or three</w:t>
      </w:r>
      <w:r>
        <w:rPr>
          <w:rFonts w:eastAsia="Calibri"/>
          <w:spacing w:val="-2"/>
        </w:rPr>
        <w:t xml:space="preserve"> </w:t>
      </w:r>
      <w:r>
        <w:rPr>
          <w:rFonts w:eastAsia="Calibri"/>
        </w:rPr>
        <w:t>business</w:t>
      </w:r>
      <w:r>
        <w:rPr>
          <w:rFonts w:eastAsia="Calibri"/>
          <w:spacing w:val="5"/>
        </w:rPr>
        <w:t xml:space="preserve"> </w:t>
      </w:r>
      <w:r>
        <w:rPr>
          <w:rFonts w:eastAsia="Calibri"/>
        </w:rPr>
        <w:t>days</w:t>
      </w:r>
      <w:r>
        <w:rPr>
          <w:rFonts w:eastAsia="Calibri"/>
          <w:spacing w:val="76"/>
        </w:rPr>
        <w:t xml:space="preserve"> </w:t>
      </w:r>
      <w:r>
        <w:rPr>
          <w:rFonts w:eastAsia="Calibri"/>
        </w:rPr>
        <w:t>after receiving</w:t>
      </w:r>
      <w:r>
        <w:rPr>
          <w:rFonts w:eastAsia="Calibri"/>
          <w:spacing w:val="2"/>
        </w:rPr>
        <w:t xml:space="preserve"> </w:t>
      </w:r>
      <w:r>
        <w:rPr>
          <w:rFonts w:eastAsia="Calibri"/>
        </w:rPr>
        <w:t>your request by mail, to lift the security</w:t>
      </w:r>
      <w:r>
        <w:rPr>
          <w:rFonts w:eastAsia="Calibri"/>
          <w:spacing w:val="-3"/>
        </w:rPr>
        <w:t xml:space="preserve"> </w:t>
      </w:r>
      <w:r>
        <w:rPr>
          <w:rFonts w:eastAsia="Calibri"/>
        </w:rPr>
        <w:t>freeze for</w:t>
      </w:r>
      <w:r>
        <w:rPr>
          <w:rFonts w:eastAsia="Calibri"/>
          <w:spacing w:val="-2"/>
        </w:rPr>
        <w:t xml:space="preserve"> </w:t>
      </w:r>
      <w:r>
        <w:rPr>
          <w:rFonts w:eastAsia="Calibri"/>
        </w:rPr>
        <w:t>those identified</w:t>
      </w:r>
      <w:r>
        <w:rPr>
          <w:rFonts w:eastAsia="Calibri"/>
          <w:spacing w:val="2"/>
        </w:rPr>
        <w:t xml:space="preserve"> </w:t>
      </w:r>
      <w:r>
        <w:rPr>
          <w:rFonts w:eastAsia="Calibri"/>
        </w:rPr>
        <w:t>entities or for the</w:t>
      </w:r>
      <w:r>
        <w:rPr>
          <w:rFonts w:eastAsia="Calibri"/>
          <w:spacing w:val="59"/>
        </w:rPr>
        <w:t xml:space="preserve"> </w:t>
      </w:r>
      <w:r>
        <w:rPr>
          <w:rFonts w:eastAsia="Calibri"/>
        </w:rPr>
        <w:t>specified period of time.</w:t>
      </w:r>
    </w:p>
    <w:p w14:paraId="5E8B8A20" w14:textId="77777777" w:rsidR="006638D9" w:rsidRDefault="006638D9" w:rsidP="006638D9">
      <w:pPr>
        <w:rPr>
          <w:rFonts w:eastAsia="Calibri"/>
        </w:rPr>
      </w:pPr>
      <w:r>
        <w:rPr>
          <w:rFonts w:eastAsia="Calibri"/>
        </w:rPr>
        <w:t> </w:t>
      </w:r>
    </w:p>
    <w:p w14:paraId="2A3ECD03" w14:textId="77777777" w:rsidR="006638D9" w:rsidRDefault="006638D9" w:rsidP="006638D9">
      <w:pPr>
        <w:rPr>
          <w:rFonts w:eastAsia="Calibri"/>
        </w:rPr>
      </w:pPr>
      <w:r>
        <w:rPr>
          <w:rFonts w:eastAsia="Calibri"/>
        </w:rPr>
        <w:t>To remove the security</w:t>
      </w:r>
      <w:r>
        <w:rPr>
          <w:rFonts w:eastAsia="Calibri"/>
          <w:spacing w:val="-5"/>
        </w:rPr>
        <w:t xml:space="preserve"> </w:t>
      </w:r>
      <w:r>
        <w:rPr>
          <w:rFonts w:eastAsia="Calibri"/>
        </w:rPr>
        <w:t>freeze,</w:t>
      </w:r>
      <w:r>
        <w:rPr>
          <w:rFonts w:eastAsia="Calibri"/>
          <w:spacing w:val="4"/>
        </w:rPr>
        <w:t xml:space="preserve"> </w:t>
      </w:r>
      <w:r>
        <w:rPr>
          <w:rFonts w:eastAsia="Calibri"/>
          <w:spacing w:val="-2"/>
        </w:rPr>
        <w:t>you</w:t>
      </w:r>
      <w:r>
        <w:rPr>
          <w:rFonts w:eastAsia="Calibri"/>
        </w:rPr>
        <w:t xml:space="preserve"> must submit a request through a toll-free telephone number, a secure electronic means maintained by a credit reporting agency, or by sending a written request via regular, certified, or overnight mail to each of the three</w:t>
      </w:r>
      <w:r>
        <w:rPr>
          <w:rFonts w:eastAsia="Calibri"/>
          <w:spacing w:val="1"/>
        </w:rPr>
        <w:t xml:space="preserve"> </w:t>
      </w:r>
      <w:r>
        <w:rPr>
          <w:rFonts w:eastAsia="Calibri"/>
        </w:rPr>
        <w:t>credit bureaus</w:t>
      </w:r>
      <w:r>
        <w:rPr>
          <w:rFonts w:eastAsia="Calibri"/>
          <w:spacing w:val="67"/>
        </w:rPr>
        <w:t xml:space="preserve"> </w:t>
      </w:r>
      <w:r>
        <w:rPr>
          <w:rFonts w:eastAsia="Calibri"/>
        </w:rPr>
        <w:t>and include proper identification (name, address, and Social Security</w:t>
      </w:r>
      <w:r>
        <w:rPr>
          <w:rFonts w:eastAsia="Calibri"/>
          <w:spacing w:val="-5"/>
        </w:rPr>
        <w:t xml:space="preserve"> </w:t>
      </w:r>
      <w:r>
        <w:rPr>
          <w:rFonts w:eastAsia="Calibri"/>
        </w:rPr>
        <w:t>number) and the</w:t>
      </w:r>
      <w:r>
        <w:rPr>
          <w:rFonts w:eastAsia="Calibri"/>
          <w:spacing w:val="56"/>
        </w:rPr>
        <w:t xml:space="preserve"> </w:t>
      </w:r>
      <w:r>
        <w:rPr>
          <w:rFonts w:eastAsia="Calibri"/>
        </w:rPr>
        <w:t>PIN number or</w:t>
      </w:r>
      <w:r>
        <w:rPr>
          <w:rFonts w:eastAsia="Calibri"/>
          <w:spacing w:val="-2"/>
        </w:rPr>
        <w:t xml:space="preserve"> </w:t>
      </w:r>
      <w:r>
        <w:rPr>
          <w:rFonts w:eastAsia="Calibri"/>
        </w:rPr>
        <w:t>password</w:t>
      </w:r>
      <w:r>
        <w:rPr>
          <w:rFonts w:eastAsia="Calibri"/>
          <w:spacing w:val="1"/>
        </w:rPr>
        <w:t xml:space="preserve"> </w:t>
      </w:r>
      <w:r>
        <w:rPr>
          <w:rFonts w:eastAsia="Calibri"/>
        </w:rPr>
        <w:t>provided to</w:t>
      </w:r>
      <w:r>
        <w:rPr>
          <w:rFonts w:eastAsia="Calibri"/>
          <w:spacing w:val="2"/>
        </w:rPr>
        <w:t xml:space="preserve"> </w:t>
      </w:r>
      <w:r>
        <w:rPr>
          <w:rFonts w:eastAsia="Calibri"/>
          <w:spacing w:val="-2"/>
        </w:rPr>
        <w:t>you</w:t>
      </w:r>
      <w:r>
        <w:rPr>
          <w:rFonts w:eastAsia="Calibri"/>
          <w:spacing w:val="2"/>
        </w:rPr>
        <w:t xml:space="preserve"> </w:t>
      </w:r>
      <w:r>
        <w:rPr>
          <w:rFonts w:eastAsia="Calibri"/>
        </w:rPr>
        <w:t>when</w:t>
      </w:r>
      <w:r>
        <w:rPr>
          <w:rFonts w:eastAsia="Calibri"/>
          <w:spacing w:val="4"/>
        </w:rPr>
        <w:t xml:space="preserve"> </w:t>
      </w:r>
      <w:r>
        <w:rPr>
          <w:rFonts w:eastAsia="Calibri"/>
        </w:rPr>
        <w:t>you placed the security</w:t>
      </w:r>
      <w:r>
        <w:rPr>
          <w:rFonts w:eastAsia="Calibri"/>
          <w:spacing w:val="-5"/>
        </w:rPr>
        <w:t xml:space="preserve"> </w:t>
      </w:r>
      <w:r>
        <w:rPr>
          <w:rFonts w:eastAsia="Calibri"/>
        </w:rPr>
        <w:t>freeze. The</w:t>
      </w:r>
      <w:r>
        <w:rPr>
          <w:rFonts w:eastAsia="Calibri"/>
          <w:spacing w:val="-2"/>
        </w:rPr>
        <w:t xml:space="preserve"> </w:t>
      </w:r>
      <w:r>
        <w:rPr>
          <w:rFonts w:eastAsia="Calibri"/>
        </w:rPr>
        <w:t>credit</w:t>
      </w:r>
      <w:r>
        <w:rPr>
          <w:rFonts w:eastAsia="Calibri"/>
          <w:spacing w:val="47"/>
        </w:rPr>
        <w:t xml:space="preserve"> </w:t>
      </w:r>
      <w:r>
        <w:rPr>
          <w:rFonts w:eastAsia="Calibri"/>
        </w:rPr>
        <w:t>bureaus have one business day after receiving your request by toll-free telephone or secure electronic means, or three</w:t>
      </w:r>
      <w:r>
        <w:rPr>
          <w:rFonts w:eastAsia="Calibri"/>
          <w:spacing w:val="-2"/>
        </w:rPr>
        <w:t xml:space="preserve"> </w:t>
      </w:r>
      <w:r>
        <w:rPr>
          <w:rFonts w:eastAsia="Calibri"/>
        </w:rPr>
        <w:t>business days</w:t>
      </w:r>
      <w:r>
        <w:rPr>
          <w:rFonts w:eastAsia="Calibri"/>
          <w:spacing w:val="2"/>
        </w:rPr>
        <w:t xml:space="preserve"> </w:t>
      </w:r>
      <w:r>
        <w:rPr>
          <w:rFonts w:eastAsia="Calibri"/>
        </w:rPr>
        <w:t>after</w:t>
      </w:r>
      <w:r>
        <w:rPr>
          <w:rFonts w:eastAsia="Calibri"/>
          <w:spacing w:val="1"/>
        </w:rPr>
        <w:t xml:space="preserve"> </w:t>
      </w:r>
      <w:r>
        <w:rPr>
          <w:rFonts w:eastAsia="Calibri"/>
        </w:rPr>
        <w:t>receiving</w:t>
      </w:r>
      <w:r>
        <w:rPr>
          <w:rFonts w:eastAsia="Calibri"/>
          <w:spacing w:val="2"/>
        </w:rPr>
        <w:t xml:space="preserve"> </w:t>
      </w:r>
      <w:r>
        <w:rPr>
          <w:rFonts w:eastAsia="Calibri"/>
          <w:spacing w:val="-2"/>
        </w:rPr>
        <w:t>your</w:t>
      </w:r>
      <w:r>
        <w:rPr>
          <w:rFonts w:eastAsia="Calibri"/>
          <w:spacing w:val="1"/>
        </w:rPr>
        <w:t xml:space="preserve"> </w:t>
      </w:r>
      <w:r>
        <w:rPr>
          <w:rFonts w:eastAsia="Calibri"/>
        </w:rPr>
        <w:t>request by mail, to remove</w:t>
      </w:r>
      <w:r>
        <w:rPr>
          <w:rFonts w:eastAsia="Calibri"/>
          <w:spacing w:val="1"/>
        </w:rPr>
        <w:t xml:space="preserve"> </w:t>
      </w:r>
      <w:r>
        <w:rPr>
          <w:rFonts w:eastAsia="Calibri"/>
        </w:rPr>
        <w:t>the security</w:t>
      </w:r>
      <w:r>
        <w:rPr>
          <w:rFonts w:eastAsia="Calibri"/>
          <w:spacing w:val="-5"/>
        </w:rPr>
        <w:t xml:space="preserve"> </w:t>
      </w:r>
      <w:r>
        <w:rPr>
          <w:rFonts w:eastAsia="Calibri"/>
        </w:rPr>
        <w:t>freeze.</w:t>
      </w:r>
    </w:p>
    <w:p w14:paraId="464BA855" w14:textId="77777777" w:rsidR="006638D9" w:rsidRDefault="006638D9" w:rsidP="006638D9">
      <w:pPr>
        <w:rPr>
          <w:rFonts w:eastAsia="Calibri"/>
        </w:rPr>
      </w:pPr>
    </w:p>
    <w:p w14:paraId="5F85A037" w14:textId="77777777" w:rsidR="006638D9" w:rsidRDefault="006638D9" w:rsidP="006638D9">
      <w:pPr>
        <w:autoSpaceDE w:val="0"/>
        <w:autoSpaceDN w:val="0"/>
        <w:adjustRightInd w:val="0"/>
        <w:contextualSpacing/>
        <w:rPr>
          <w:rFonts w:eastAsia="Calibri"/>
        </w:rPr>
      </w:pPr>
      <w:r>
        <w:rPr>
          <w:rFonts w:eastAsia="Calibri"/>
          <w:b/>
        </w:rPr>
        <w:t>Fair Credit Reporting Act:</w:t>
      </w:r>
      <w:r>
        <w:rPr>
          <w:rFonts w:eastAsia="Calibri"/>
        </w:rPr>
        <w:t xml:space="preserve"> You also have rights under the federal Fair Credit Reporting Act, which promotes the accuracy, fairness, and privacy of information in the files of consumer reporting agencies.  The FTC has published a list of the primary rights created by the FCRA (https://www.consumer.ftc.gov/articles/pdf-0096-fair-credit-reporting-act.pdf), and that article refers individuals seeking more information to visit www.ftc.gov/credit.  The FTC’s list of FCRA rights includes:</w:t>
      </w:r>
    </w:p>
    <w:p w14:paraId="246047EE" w14:textId="77777777" w:rsidR="006638D9" w:rsidRDefault="006638D9" w:rsidP="006638D9">
      <w:pPr>
        <w:autoSpaceDE w:val="0"/>
        <w:autoSpaceDN w:val="0"/>
        <w:adjustRightInd w:val="0"/>
        <w:ind w:left="360"/>
        <w:contextualSpacing/>
        <w:jc w:val="both"/>
        <w:rPr>
          <w:rFonts w:eastAsia="Calibri"/>
        </w:rPr>
      </w:pPr>
    </w:p>
    <w:p w14:paraId="1CB44929"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You have the right to receive a copy of your credit report. The copy of your report must contain all the information in your file at the time of your request.</w:t>
      </w:r>
    </w:p>
    <w:p w14:paraId="4B675940"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 xml:space="preserve">Each of the nationwide credit reporting companies – Experian, TransUnion and Equifax – is required to provide you with a free copy of your credit report, at your request, once </w:t>
      </w:r>
      <w:r>
        <w:rPr>
          <w:rFonts w:eastAsia="Calibri"/>
        </w:rPr>
        <w:lastRenderedPageBreak/>
        <w:t>every 12 months.</w:t>
      </w:r>
    </w:p>
    <w:p w14:paraId="56D7BE4C"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You are also entitled to a free report if a company takes adverse action against you, like denying your application for credit, insurance, or employment, and you ask for your report within 60 days of receiving notice of the action. The notice will give you the name, address, and phone number of the credit reporting company. You are also entitled to one free report a year if you are unemployed and plan to look for a job within 60 days; if you’re on welfare; or if your report is inaccurate because of fraud, including identity theft.</w:t>
      </w:r>
    </w:p>
    <w:p w14:paraId="2DAC3F7B"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 xml:space="preserve">You have the right to ask for a credit score. </w:t>
      </w:r>
    </w:p>
    <w:p w14:paraId="440C0B4E"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You have the right to dispute incomplete or inaccurate information.</w:t>
      </w:r>
    </w:p>
    <w:p w14:paraId="1D1A7CF7"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 xml:space="preserve">Consumer reporting agencies must correct or delete inaccurate, incomplete, or unverifiable information. </w:t>
      </w:r>
    </w:p>
    <w:p w14:paraId="1C38CA1A"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Consumer reporting agencies may not report outdated negative information.</w:t>
      </w:r>
    </w:p>
    <w:p w14:paraId="49AE0E07"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Access to your file is limited and you must give your consent for reports to be provided to employers.</w:t>
      </w:r>
    </w:p>
    <w:p w14:paraId="355D006E"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You may limit “prescreened” offers of credit and insurance you get based on information in your credit report.</w:t>
      </w:r>
    </w:p>
    <w:p w14:paraId="4BE6464A"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You may seek damages from violators.</w:t>
      </w:r>
    </w:p>
    <w:p w14:paraId="5C2365EA" w14:textId="77777777" w:rsidR="006638D9" w:rsidRDefault="006638D9" w:rsidP="006638D9">
      <w:pPr>
        <w:widowControl w:val="0"/>
        <w:numPr>
          <w:ilvl w:val="0"/>
          <w:numId w:val="4"/>
        </w:numPr>
        <w:autoSpaceDE w:val="0"/>
        <w:autoSpaceDN w:val="0"/>
        <w:adjustRightInd w:val="0"/>
        <w:contextualSpacing/>
        <w:rPr>
          <w:rFonts w:eastAsia="Calibri"/>
        </w:rPr>
      </w:pPr>
      <w:r>
        <w:rPr>
          <w:rFonts w:eastAsia="Calibri"/>
        </w:rPr>
        <w:t>Identity theft victims and active duty military personnel have additional rights.</w:t>
      </w:r>
    </w:p>
    <w:p w14:paraId="5509A476" w14:textId="77777777" w:rsidR="006638D9" w:rsidRDefault="006638D9" w:rsidP="006638D9"/>
    <w:p w14:paraId="6DF736A1" w14:textId="77777777" w:rsidR="006638D9" w:rsidRDefault="006638D9" w:rsidP="006638D9">
      <w:r>
        <w:rPr>
          <w:bCs/>
        </w:rPr>
        <w:t xml:space="preserve">You may wish to learn more about identity theft. </w:t>
      </w:r>
      <w:r>
        <w:t xml:space="preserve">The Federal Trade Commission has on-line guidance about the steps that consumers can take to protect themselves against identity theft.  </w:t>
      </w:r>
      <w:r>
        <w:rPr>
          <w:color w:val="000000"/>
        </w:rPr>
        <w:t>You may also obtain information about steps you can take to avoid identity theft from the following:</w:t>
      </w:r>
    </w:p>
    <w:p w14:paraId="3FF7B0AE" w14:textId="77777777" w:rsidR="006638D9" w:rsidRDefault="006638D9" w:rsidP="006638D9">
      <w:pPr>
        <w:ind w:left="720" w:hanging="5"/>
        <w:rPr>
          <w:b/>
          <w:color w:val="000000"/>
        </w:rPr>
      </w:pPr>
    </w:p>
    <w:tbl>
      <w:tblPr>
        <w:tblW w:w="0" w:type="auto"/>
        <w:tblLook w:val="00A0" w:firstRow="1" w:lastRow="0" w:firstColumn="1" w:lastColumn="0" w:noHBand="0" w:noVBand="0"/>
      </w:tblPr>
      <w:tblGrid>
        <w:gridCol w:w="4246"/>
        <w:gridCol w:w="4610"/>
      </w:tblGrid>
      <w:tr w:rsidR="006638D9" w14:paraId="3BBD32FE" w14:textId="77777777" w:rsidTr="005D3EC4">
        <w:tc>
          <w:tcPr>
            <w:tcW w:w="4246" w:type="dxa"/>
          </w:tcPr>
          <w:p w14:paraId="1C41D629" w14:textId="77777777" w:rsidR="006638D9" w:rsidRDefault="006638D9" w:rsidP="005D3EC4">
            <w:pPr>
              <w:ind w:left="360" w:hanging="5"/>
              <w:rPr>
                <w:b/>
                <w:color w:val="000000"/>
                <w:sz w:val="22"/>
                <w:szCs w:val="22"/>
              </w:rPr>
            </w:pPr>
            <w:r>
              <w:rPr>
                <w:b/>
                <w:color w:val="000000"/>
                <w:sz w:val="22"/>
                <w:szCs w:val="22"/>
              </w:rPr>
              <w:t>For all US Residents:</w:t>
            </w:r>
          </w:p>
          <w:p w14:paraId="24C1994B" w14:textId="77777777" w:rsidR="006638D9" w:rsidRDefault="006638D9" w:rsidP="005D3EC4">
            <w:pPr>
              <w:ind w:left="360" w:hanging="5"/>
              <w:rPr>
                <w:b/>
                <w:color w:val="000000"/>
                <w:sz w:val="22"/>
                <w:szCs w:val="22"/>
              </w:rPr>
            </w:pPr>
            <w:r>
              <w:rPr>
                <w:b/>
                <w:color w:val="000000"/>
                <w:sz w:val="22"/>
                <w:szCs w:val="22"/>
              </w:rPr>
              <w:t xml:space="preserve">Federal Trade Commission </w:t>
            </w:r>
          </w:p>
          <w:p w14:paraId="3222A724" w14:textId="77777777" w:rsidR="006638D9" w:rsidRDefault="006638D9" w:rsidP="005D3EC4">
            <w:pPr>
              <w:ind w:left="360"/>
              <w:rPr>
                <w:color w:val="000000"/>
                <w:sz w:val="22"/>
                <w:szCs w:val="22"/>
              </w:rPr>
            </w:pPr>
            <w:r>
              <w:rPr>
                <w:color w:val="000000"/>
                <w:sz w:val="22"/>
                <w:szCs w:val="22"/>
              </w:rPr>
              <w:t>Consumer Response Center</w:t>
            </w:r>
            <w:r>
              <w:rPr>
                <w:color w:val="000000"/>
                <w:sz w:val="22"/>
                <w:szCs w:val="22"/>
              </w:rPr>
              <w:br/>
              <w:t>600 Pennsylvania Avenue, NW</w:t>
            </w:r>
            <w:r>
              <w:rPr>
                <w:color w:val="000000"/>
                <w:sz w:val="22"/>
                <w:szCs w:val="22"/>
              </w:rPr>
              <w:br/>
              <w:t>Washington, DC 20580</w:t>
            </w:r>
          </w:p>
          <w:p w14:paraId="7672E232" w14:textId="77777777" w:rsidR="006638D9" w:rsidRDefault="006638D9" w:rsidP="005D3EC4">
            <w:pPr>
              <w:ind w:left="360"/>
              <w:rPr>
                <w:color w:val="000000"/>
                <w:sz w:val="22"/>
                <w:szCs w:val="22"/>
              </w:rPr>
            </w:pPr>
            <w:r>
              <w:rPr>
                <w:color w:val="000000"/>
                <w:sz w:val="22"/>
                <w:szCs w:val="22"/>
              </w:rPr>
              <w:t>(877) FTC-HELP or (877) 382-4357)</w:t>
            </w:r>
          </w:p>
          <w:p w14:paraId="305C9B5D" w14:textId="77777777" w:rsidR="006638D9" w:rsidRDefault="006638D9" w:rsidP="005D3EC4">
            <w:pPr>
              <w:ind w:left="360"/>
              <w:rPr>
                <w:color w:val="000000"/>
                <w:sz w:val="22"/>
                <w:szCs w:val="22"/>
              </w:rPr>
            </w:pPr>
            <w:r>
              <w:rPr>
                <w:color w:val="000000"/>
                <w:sz w:val="22"/>
                <w:szCs w:val="22"/>
              </w:rPr>
              <w:t>http://www.ftc.gov</w:t>
            </w:r>
          </w:p>
          <w:p w14:paraId="6BC11AB8" w14:textId="77777777" w:rsidR="006638D9" w:rsidRDefault="006638D9" w:rsidP="005D3EC4">
            <w:pPr>
              <w:ind w:left="720"/>
              <w:rPr>
                <w:b/>
                <w:color w:val="000000"/>
                <w:sz w:val="22"/>
                <w:szCs w:val="22"/>
              </w:rPr>
            </w:pPr>
          </w:p>
        </w:tc>
        <w:tc>
          <w:tcPr>
            <w:tcW w:w="4610" w:type="dxa"/>
          </w:tcPr>
          <w:p w14:paraId="6A2B002C" w14:textId="77777777" w:rsidR="006638D9" w:rsidRDefault="006638D9" w:rsidP="005D3EC4">
            <w:pPr>
              <w:ind w:left="720"/>
              <w:rPr>
                <w:b/>
                <w:color w:val="000000"/>
                <w:sz w:val="22"/>
                <w:szCs w:val="22"/>
              </w:rPr>
            </w:pPr>
            <w:r>
              <w:rPr>
                <w:b/>
                <w:color w:val="000000"/>
                <w:sz w:val="22"/>
                <w:szCs w:val="22"/>
              </w:rPr>
              <w:t>For Maryland Residents:</w:t>
            </w:r>
          </w:p>
          <w:p w14:paraId="0EB29797" w14:textId="77777777" w:rsidR="006638D9" w:rsidRDefault="006638D9" w:rsidP="005D3EC4">
            <w:pPr>
              <w:ind w:left="720"/>
              <w:rPr>
                <w:color w:val="000000"/>
                <w:sz w:val="22"/>
                <w:szCs w:val="22"/>
              </w:rPr>
            </w:pPr>
            <w:r>
              <w:rPr>
                <w:b/>
                <w:color w:val="000000"/>
                <w:sz w:val="22"/>
                <w:szCs w:val="22"/>
              </w:rPr>
              <w:t>Maryland Office of the Attorney General</w:t>
            </w:r>
            <w:r>
              <w:rPr>
                <w:color w:val="000000"/>
                <w:sz w:val="22"/>
                <w:szCs w:val="22"/>
              </w:rPr>
              <w:br/>
              <w:t>200 St. Paul Place</w:t>
            </w:r>
            <w:r>
              <w:rPr>
                <w:color w:val="000000"/>
                <w:sz w:val="22"/>
                <w:szCs w:val="22"/>
              </w:rPr>
              <w:br/>
              <w:t>Baltimore, MD 21202</w:t>
            </w:r>
          </w:p>
          <w:p w14:paraId="746E3C24" w14:textId="77777777" w:rsidR="006638D9" w:rsidRDefault="006638D9" w:rsidP="005D3EC4">
            <w:pPr>
              <w:ind w:left="720"/>
              <w:rPr>
                <w:color w:val="000000"/>
                <w:sz w:val="22"/>
                <w:szCs w:val="22"/>
              </w:rPr>
            </w:pPr>
            <w:r>
              <w:rPr>
                <w:color w:val="000000"/>
                <w:sz w:val="22"/>
                <w:szCs w:val="22"/>
              </w:rPr>
              <w:t>(888)-743-0023</w:t>
            </w:r>
          </w:p>
          <w:p w14:paraId="44062B70" w14:textId="77777777" w:rsidR="006638D9" w:rsidRDefault="006638D9" w:rsidP="005D3EC4">
            <w:pPr>
              <w:ind w:left="720"/>
              <w:rPr>
                <w:b/>
                <w:color w:val="000000"/>
                <w:sz w:val="22"/>
                <w:szCs w:val="22"/>
              </w:rPr>
            </w:pPr>
            <w:r>
              <w:rPr>
                <w:color w:val="000000"/>
                <w:sz w:val="22"/>
                <w:szCs w:val="22"/>
              </w:rPr>
              <w:t>http://www.oag.state.md.us/index.htm</w:t>
            </w:r>
          </w:p>
        </w:tc>
      </w:tr>
      <w:tr w:rsidR="006638D9" w14:paraId="69AF1B28" w14:textId="77777777" w:rsidTr="005D3EC4">
        <w:tc>
          <w:tcPr>
            <w:tcW w:w="4246" w:type="dxa"/>
          </w:tcPr>
          <w:p w14:paraId="645A02CD" w14:textId="77777777" w:rsidR="006638D9" w:rsidRDefault="006638D9" w:rsidP="005D3EC4">
            <w:pPr>
              <w:ind w:left="360"/>
              <w:rPr>
                <w:b/>
                <w:color w:val="000000"/>
                <w:sz w:val="22"/>
                <w:szCs w:val="22"/>
              </w:rPr>
            </w:pPr>
            <w:r>
              <w:rPr>
                <w:b/>
                <w:color w:val="000000"/>
                <w:sz w:val="22"/>
                <w:szCs w:val="22"/>
              </w:rPr>
              <w:t>For North Carolina Residents:</w:t>
            </w:r>
          </w:p>
          <w:p w14:paraId="6C2A6C14" w14:textId="77777777" w:rsidR="006638D9" w:rsidRDefault="006638D9" w:rsidP="005D3EC4">
            <w:pPr>
              <w:ind w:left="360"/>
              <w:rPr>
                <w:b/>
                <w:color w:val="000000"/>
                <w:sz w:val="22"/>
                <w:szCs w:val="22"/>
              </w:rPr>
            </w:pPr>
            <w:r>
              <w:rPr>
                <w:b/>
                <w:color w:val="000000"/>
                <w:sz w:val="22"/>
                <w:szCs w:val="22"/>
              </w:rPr>
              <w:t xml:space="preserve">NC Attorney General’s Office </w:t>
            </w:r>
          </w:p>
          <w:p w14:paraId="328133E7" w14:textId="77777777" w:rsidR="006638D9" w:rsidRDefault="006638D9" w:rsidP="005D3EC4">
            <w:pPr>
              <w:ind w:left="360"/>
              <w:rPr>
                <w:sz w:val="22"/>
                <w:szCs w:val="22"/>
              </w:rPr>
            </w:pPr>
            <w:r>
              <w:rPr>
                <w:b/>
                <w:color w:val="000000"/>
                <w:sz w:val="22"/>
                <w:szCs w:val="22"/>
              </w:rPr>
              <w:t>Consumer Protection Division</w:t>
            </w:r>
            <w:r>
              <w:rPr>
                <w:color w:val="000000"/>
                <w:sz w:val="22"/>
                <w:szCs w:val="22"/>
              </w:rPr>
              <w:br/>
              <w:t>9001 Mail Service Center</w:t>
            </w:r>
            <w:r>
              <w:rPr>
                <w:sz w:val="22"/>
                <w:szCs w:val="22"/>
              </w:rPr>
              <w:br/>
              <w:t xml:space="preserve">Raleigh, NC 27699-9001 </w:t>
            </w:r>
          </w:p>
          <w:p w14:paraId="21B0E97B" w14:textId="77777777" w:rsidR="006638D9" w:rsidRDefault="006638D9" w:rsidP="005D3EC4">
            <w:pPr>
              <w:ind w:left="360"/>
              <w:rPr>
                <w:color w:val="000000"/>
                <w:sz w:val="22"/>
                <w:szCs w:val="22"/>
              </w:rPr>
            </w:pPr>
            <w:r>
              <w:rPr>
                <w:color w:val="000000"/>
                <w:sz w:val="22"/>
                <w:szCs w:val="22"/>
              </w:rPr>
              <w:t>(919) 716-6000</w:t>
            </w:r>
          </w:p>
          <w:p w14:paraId="1AF9CEE1" w14:textId="77777777" w:rsidR="006638D9" w:rsidRDefault="006638D9" w:rsidP="005D3EC4">
            <w:pPr>
              <w:ind w:left="360" w:hanging="5"/>
              <w:rPr>
                <w:b/>
                <w:color w:val="000000"/>
                <w:sz w:val="22"/>
                <w:szCs w:val="22"/>
              </w:rPr>
            </w:pPr>
            <w:r>
              <w:rPr>
                <w:sz w:val="22"/>
                <w:szCs w:val="22"/>
              </w:rPr>
              <w:t>http://www.ncdoj.gov/</w:t>
            </w:r>
          </w:p>
        </w:tc>
        <w:tc>
          <w:tcPr>
            <w:tcW w:w="4610" w:type="dxa"/>
          </w:tcPr>
          <w:p w14:paraId="7C82543E" w14:textId="77777777" w:rsidR="006638D9" w:rsidRDefault="006638D9" w:rsidP="005D3EC4">
            <w:pPr>
              <w:ind w:left="720"/>
              <w:rPr>
                <w:color w:val="000000"/>
                <w:sz w:val="22"/>
                <w:szCs w:val="22"/>
              </w:rPr>
            </w:pPr>
            <w:r>
              <w:rPr>
                <w:b/>
                <w:color w:val="000000"/>
                <w:sz w:val="22"/>
                <w:szCs w:val="22"/>
              </w:rPr>
              <w:t>For Rhode Island Residents: Rhode Island Office of the Attorney General</w:t>
            </w:r>
          </w:p>
          <w:p w14:paraId="2EE6CBCE" w14:textId="77777777" w:rsidR="006638D9" w:rsidRDefault="006638D9" w:rsidP="005D3EC4">
            <w:pPr>
              <w:ind w:left="720"/>
              <w:rPr>
                <w:color w:val="000000"/>
                <w:sz w:val="22"/>
                <w:szCs w:val="22"/>
              </w:rPr>
            </w:pPr>
            <w:r>
              <w:rPr>
                <w:color w:val="000000"/>
                <w:sz w:val="22"/>
                <w:szCs w:val="22"/>
              </w:rPr>
              <w:t>150 South Main Street</w:t>
            </w:r>
          </w:p>
          <w:p w14:paraId="67256C49" w14:textId="77777777" w:rsidR="006638D9" w:rsidRDefault="006638D9" w:rsidP="005D3EC4">
            <w:pPr>
              <w:ind w:left="720"/>
              <w:rPr>
                <w:color w:val="000000"/>
                <w:sz w:val="22"/>
                <w:szCs w:val="22"/>
              </w:rPr>
            </w:pPr>
            <w:r>
              <w:rPr>
                <w:color w:val="000000"/>
                <w:sz w:val="22"/>
                <w:szCs w:val="22"/>
              </w:rPr>
              <w:t>Providence, RI 02903</w:t>
            </w:r>
          </w:p>
          <w:p w14:paraId="21B80D2E" w14:textId="77777777" w:rsidR="006638D9" w:rsidRDefault="006638D9" w:rsidP="005D3EC4">
            <w:pPr>
              <w:ind w:left="720"/>
              <w:rPr>
                <w:color w:val="000000"/>
                <w:sz w:val="22"/>
                <w:szCs w:val="22"/>
              </w:rPr>
            </w:pPr>
            <w:r>
              <w:rPr>
                <w:color w:val="000000"/>
                <w:sz w:val="22"/>
                <w:szCs w:val="22"/>
              </w:rPr>
              <w:t>(401) 274-4400</w:t>
            </w:r>
          </w:p>
          <w:p w14:paraId="2CDE5D54" w14:textId="77777777" w:rsidR="006638D9" w:rsidRDefault="006638D9" w:rsidP="005D3EC4">
            <w:pPr>
              <w:ind w:left="720"/>
              <w:rPr>
                <w:color w:val="000000"/>
                <w:sz w:val="22"/>
                <w:szCs w:val="22"/>
              </w:rPr>
            </w:pPr>
            <w:r>
              <w:rPr>
                <w:color w:val="000000"/>
                <w:sz w:val="22"/>
                <w:szCs w:val="22"/>
              </w:rPr>
              <w:t>http://www.riag.ri.gov/</w:t>
            </w:r>
          </w:p>
        </w:tc>
      </w:tr>
    </w:tbl>
    <w:p w14:paraId="7DB1BDD8" w14:textId="77777777" w:rsidR="006638D9" w:rsidRDefault="006638D9" w:rsidP="006638D9"/>
    <w:p w14:paraId="26CD1263" w14:textId="77777777" w:rsidR="00B56BBA" w:rsidRDefault="006638D9" w:rsidP="006638D9">
      <w:r>
        <w:t>Iowa residents may report suspected incidents of identity theft to local law enforcement or to the Iowa Attorney General.</w:t>
      </w:r>
    </w:p>
    <w:sectPr w:rsidR="00B56B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815B" w14:textId="77777777" w:rsidR="00957C52" w:rsidRDefault="00957C52" w:rsidP="006638D9">
      <w:r>
        <w:separator/>
      </w:r>
    </w:p>
  </w:endnote>
  <w:endnote w:type="continuationSeparator" w:id="0">
    <w:p w14:paraId="6C9CFFE9" w14:textId="77777777" w:rsidR="00957C52" w:rsidRDefault="00957C52" w:rsidP="0066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B79A" w14:textId="77777777" w:rsidR="006638D9" w:rsidRDefault="00663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0658" w14:textId="77777777" w:rsidR="006638D9" w:rsidRDefault="00663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151" w14:textId="77777777" w:rsidR="006638D9" w:rsidRDefault="0066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0D34" w14:textId="77777777" w:rsidR="00957C52" w:rsidRDefault="00957C52" w:rsidP="006638D9">
      <w:r>
        <w:separator/>
      </w:r>
    </w:p>
  </w:footnote>
  <w:footnote w:type="continuationSeparator" w:id="0">
    <w:p w14:paraId="796E8DDE" w14:textId="77777777" w:rsidR="00957C52" w:rsidRDefault="00957C52" w:rsidP="006638D9">
      <w:r>
        <w:continuationSeparator/>
      </w:r>
    </w:p>
  </w:footnote>
  <w:footnote w:id="1">
    <w:p w14:paraId="153E7EF3" w14:textId="77777777" w:rsidR="006638D9" w:rsidRDefault="006638D9" w:rsidP="006638D9">
      <w:pPr>
        <w:pStyle w:val="NoSpacing"/>
        <w:rPr>
          <w:rFonts w:asciiTheme="minorHAnsi" w:hAnsiTheme="minorHAnsi"/>
          <w:sz w:val="18"/>
          <w:szCs w:val="18"/>
        </w:rPr>
      </w:pPr>
      <w:r>
        <w:rPr>
          <w:rStyle w:val="FootnoteReference"/>
        </w:rPr>
        <w:footnoteRef/>
      </w:r>
      <w:r>
        <w:t xml:space="preserve"> </w:t>
      </w:r>
      <w:r>
        <w:rPr>
          <w:rFonts w:asciiTheme="minorHAnsi" w:hAnsiTheme="minorHAnsi"/>
          <w:sz w:val="18"/>
          <w:szCs w:val="18"/>
        </w:rPr>
        <w:t>Identity theft insurance is underwritten by insurance company subsidiaries or affiliates of American International Group, Inc.  (AIG).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p w14:paraId="1998F271" w14:textId="77777777" w:rsidR="006638D9" w:rsidRDefault="006638D9" w:rsidP="006638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1492" w14:textId="77777777" w:rsidR="006638D9" w:rsidRDefault="00663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868278"/>
      <w:docPartObj>
        <w:docPartGallery w:val="Watermarks"/>
        <w:docPartUnique/>
      </w:docPartObj>
    </w:sdtPr>
    <w:sdtEndPr/>
    <w:sdtContent>
      <w:p w14:paraId="15544078" w14:textId="77777777" w:rsidR="006638D9" w:rsidRDefault="00957C52">
        <w:pPr>
          <w:pStyle w:val="Header"/>
        </w:pPr>
        <w:r>
          <w:rPr>
            <w:noProof/>
          </w:rPr>
          <w:pict w14:anchorId="6C946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97D3" w14:textId="77777777" w:rsidR="006638D9" w:rsidRDefault="0066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55BC5A56"/>
    <w:multiLevelType w:val="hybridMultilevel"/>
    <w:tmpl w:val="B2B42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1">
    <w:nsid w:val="57A81E4D"/>
    <w:multiLevelType w:val="hybridMultilevel"/>
    <w:tmpl w:val="42BEC74C"/>
    <w:lvl w:ilvl="0" w:tplc="A1CEC9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1">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D9"/>
    <w:rsid w:val="00344A68"/>
    <w:rsid w:val="006638D9"/>
    <w:rsid w:val="00957C52"/>
    <w:rsid w:val="00B56BBA"/>
    <w:rsid w:val="00C4780F"/>
    <w:rsid w:val="00D14E57"/>
    <w:rsid w:val="00F6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8DE1D"/>
  <w15:chartTrackingRefBased/>
  <w15:docId w15:val="{3AC07BFE-F64B-456F-A425-A8BE163C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638D9"/>
    <w:rPr>
      <w:sz w:val="20"/>
      <w:szCs w:val="20"/>
    </w:rPr>
  </w:style>
  <w:style w:type="character" w:customStyle="1" w:styleId="FootnoteTextChar">
    <w:name w:val="Footnote Text Char"/>
    <w:basedOn w:val="DefaultParagraphFont"/>
    <w:link w:val="FootnoteText"/>
    <w:rsid w:val="006638D9"/>
    <w:rPr>
      <w:rFonts w:ascii="Times New Roman" w:eastAsia="Times New Roman" w:hAnsi="Times New Roman" w:cs="Times New Roman"/>
      <w:sz w:val="20"/>
      <w:szCs w:val="20"/>
    </w:rPr>
  </w:style>
  <w:style w:type="paragraph" w:styleId="NoSpacing">
    <w:name w:val="No Spacing"/>
    <w:uiPriority w:val="1"/>
    <w:qFormat/>
    <w:rsid w:val="006638D9"/>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6638D9"/>
    <w:rPr>
      <w:vertAlign w:val="superscript"/>
    </w:rPr>
  </w:style>
  <w:style w:type="paragraph" w:styleId="Header">
    <w:name w:val="header"/>
    <w:basedOn w:val="Normal"/>
    <w:link w:val="HeaderChar"/>
    <w:uiPriority w:val="99"/>
    <w:unhideWhenUsed/>
    <w:rsid w:val="006638D9"/>
    <w:pPr>
      <w:tabs>
        <w:tab w:val="center" w:pos="4680"/>
        <w:tab w:val="right" w:pos="9360"/>
      </w:tabs>
    </w:pPr>
  </w:style>
  <w:style w:type="character" w:customStyle="1" w:styleId="HeaderChar">
    <w:name w:val="Header Char"/>
    <w:basedOn w:val="DefaultParagraphFont"/>
    <w:link w:val="Header"/>
    <w:uiPriority w:val="99"/>
    <w:rsid w:val="00663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38D9"/>
    <w:pPr>
      <w:tabs>
        <w:tab w:val="center" w:pos="4680"/>
        <w:tab w:val="right" w:pos="9360"/>
      </w:tabs>
    </w:pPr>
  </w:style>
  <w:style w:type="character" w:customStyle="1" w:styleId="FooterChar">
    <w:name w:val="Footer Char"/>
    <w:basedOn w:val="DefaultParagraphFont"/>
    <w:link w:val="Footer"/>
    <w:uiPriority w:val="99"/>
    <w:rsid w:val="006638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8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ast-2.protection.sophos.com?d=experianidworks.com&amp;u=aHR0cHM6Ly93d3cuZXhwZXJpYW5pZHdvcmtzLmNvbS9jcmVkaXQ=&amp;e=cHZhbnNhbnRAbmFhLmVkdQ==&amp;t=bWNTUE1obzlrTUtNd2pFT3NIWHdUY0U3R09XYW5PQ0pVU2hiMmQxNk9Jbz0=" TargetMode="External"/><Relationship Id="rId13" Type="http://schemas.openxmlformats.org/officeDocument/2006/relationships/hyperlink" Target="http://www.equifax.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a.edu" TargetMode="External"/><Relationship Id="rId12" Type="http://schemas.openxmlformats.org/officeDocument/2006/relationships/hyperlink" Target="http://www.transunio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xperianIDWorks.com/restor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Worlinsky</dc:creator>
  <cp:keywords/>
  <dc:description/>
  <cp:lastModifiedBy>Crofford, Gabrielle</cp:lastModifiedBy>
  <cp:revision>2</cp:revision>
  <cp:lastPrinted>2019-06-22T18:49:00Z</cp:lastPrinted>
  <dcterms:created xsi:type="dcterms:W3CDTF">2019-07-01T23:19:00Z</dcterms:created>
  <dcterms:modified xsi:type="dcterms:W3CDTF">2019-07-01T23:19:00Z</dcterms:modified>
</cp:coreProperties>
</file>