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0D00" w14:textId="77777777" w:rsidR="00ED666F" w:rsidRPr="001578C8" w:rsidRDefault="005B7455" w:rsidP="00ED666F">
      <w:pPr>
        <w:rPr>
          <w:rFonts w:ascii="Times New Roman" w:hAnsi="Times New Roman"/>
          <w:sz w:val="24"/>
          <w:szCs w:val="24"/>
        </w:rPr>
      </w:pPr>
      <w:r>
        <w:rPr>
          <w:noProof/>
          <w:color w:val="000000"/>
        </w:rPr>
        <w:drawing>
          <wp:inline distT="0" distB="0" distL="0" distR="0" wp14:anchorId="31EE858C" wp14:editId="26862088">
            <wp:extent cx="1714500" cy="592985"/>
            <wp:effectExtent l="0" t="0" r="0" b="0"/>
            <wp:docPr id="2" name="Picture 2" descr="OnQ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nQ Logo large.jpg"/>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28269" cy="597747"/>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roofErr w:type="gramStart"/>
      <w:r>
        <w:rPr>
          <w:rFonts w:ascii="Times New Roman" w:hAnsi="Times New Roman"/>
          <w:sz w:val="24"/>
          <w:szCs w:val="24"/>
        </w:rPr>
        <w:t>:  [</w:t>
      </w:r>
      <w:proofErr w:type="gramEnd"/>
      <w:r>
        <w:rPr>
          <w:rFonts w:ascii="Times New Roman" w:hAnsi="Times New Roman"/>
          <w:sz w:val="24"/>
          <w:szCs w:val="24"/>
        </w:rPr>
        <w:t>INSERT DATE], 2021</w:t>
      </w:r>
    </w:p>
    <w:p w14:paraId="22788667" w14:textId="77777777" w:rsidR="001578C8" w:rsidRPr="001578C8" w:rsidRDefault="005B7455">
      <w:pPr>
        <w:rPr>
          <w:rFonts w:ascii="Times New Roman" w:hAnsi="Times New Roman"/>
          <w:sz w:val="24"/>
          <w:szCs w:val="24"/>
        </w:rPr>
      </w:pPr>
      <w:r w:rsidRPr="001578C8">
        <w:rPr>
          <w:rFonts w:ascii="Times New Roman" w:hAnsi="Times New Roman"/>
          <w:sz w:val="24"/>
          <w:szCs w:val="24"/>
        </w:rPr>
        <w:t xml:space="preserve"> </w:t>
      </w:r>
    </w:p>
    <w:p w14:paraId="04C8E940" w14:textId="77777777" w:rsidR="001C38A6" w:rsidRDefault="005B7455" w:rsidP="001C38A6">
      <w:pPr>
        <w:rPr>
          <w:rFonts w:ascii="Times New Roman" w:hAnsi="Times New Roman"/>
          <w:sz w:val="28"/>
          <w:szCs w:val="28"/>
        </w:rPr>
      </w:pPr>
      <w:r w:rsidRPr="00324220">
        <w:rPr>
          <w:rFonts w:ascii="Times New Roman" w:hAnsi="Times New Roman"/>
          <w:sz w:val="28"/>
          <w:szCs w:val="28"/>
        </w:rPr>
        <w:t>NOTICE OF DATA BREACH</w:t>
      </w:r>
    </w:p>
    <w:p w14:paraId="2AA8E8D5" w14:textId="77777777" w:rsidR="00711E12" w:rsidRPr="00324220" w:rsidRDefault="003836DB" w:rsidP="001C38A6">
      <w:pPr>
        <w:rPr>
          <w:rFonts w:ascii="Times New Roman" w:hAnsi="Times New Roman"/>
          <w:sz w:val="28"/>
          <w:szCs w:val="28"/>
        </w:rPr>
      </w:pPr>
    </w:p>
    <w:p w14:paraId="2CF91024" w14:textId="77777777" w:rsidR="00711E12" w:rsidRDefault="005B7455">
      <w:pPr>
        <w:rPr>
          <w:rFonts w:ascii="Times New Roman" w:hAnsi="Times New Roman"/>
          <w:sz w:val="28"/>
          <w:szCs w:val="28"/>
        </w:rPr>
      </w:pPr>
      <w:r w:rsidRPr="00711E12">
        <w:rPr>
          <w:rFonts w:ascii="Times New Roman" w:hAnsi="Times New Roman"/>
          <w:sz w:val="28"/>
          <w:szCs w:val="28"/>
        </w:rPr>
        <w:t xml:space="preserve">Dear [Insert Name]: </w:t>
      </w:r>
    </w:p>
    <w:p w14:paraId="69ED09F8" w14:textId="77777777" w:rsidR="00711E12" w:rsidRDefault="003836DB">
      <w:pPr>
        <w:rPr>
          <w:rFonts w:ascii="Times New Roman" w:hAnsi="Times New Roman"/>
          <w:sz w:val="28"/>
          <w:szCs w:val="28"/>
        </w:rPr>
      </w:pPr>
    </w:p>
    <w:p w14:paraId="45A46794" w14:textId="77777777" w:rsidR="001578C8" w:rsidRPr="00711E12" w:rsidRDefault="005B7455">
      <w:pPr>
        <w:rPr>
          <w:rFonts w:ascii="Times New Roman" w:hAnsi="Times New Roman"/>
          <w:sz w:val="28"/>
          <w:szCs w:val="28"/>
        </w:rPr>
      </w:pPr>
      <w:r w:rsidRPr="00711E12">
        <w:rPr>
          <w:rFonts w:ascii="Times New Roman" w:hAnsi="Times New Roman"/>
          <w:sz w:val="28"/>
          <w:szCs w:val="28"/>
        </w:rPr>
        <w:t xml:space="preserve">We are contacting you about a data breach that has occurred at </w:t>
      </w:r>
      <w:r>
        <w:rPr>
          <w:rFonts w:ascii="Times New Roman" w:hAnsi="Times New Roman"/>
          <w:sz w:val="28"/>
          <w:szCs w:val="28"/>
        </w:rPr>
        <w:t>On Q Financial, Inc.</w:t>
      </w:r>
    </w:p>
    <w:tbl>
      <w:tblPr>
        <w:tblStyle w:val="TableGrid"/>
        <w:tblpPr w:leftFromText="180" w:rightFromText="180" w:vertAnchor="page" w:horzAnchor="margin" w:tblpY="5089"/>
        <w:tblW w:w="0" w:type="auto"/>
        <w:tblLook w:val="04A0" w:firstRow="1" w:lastRow="0" w:firstColumn="1" w:lastColumn="0" w:noHBand="0" w:noVBand="1"/>
      </w:tblPr>
      <w:tblGrid>
        <w:gridCol w:w="2168"/>
        <w:gridCol w:w="7134"/>
      </w:tblGrid>
      <w:tr w:rsidR="00814A08" w14:paraId="6D772F8F" w14:textId="77777777" w:rsidTr="00711E12">
        <w:trPr>
          <w:trHeight w:val="1954"/>
        </w:trPr>
        <w:tc>
          <w:tcPr>
            <w:tcW w:w="2168" w:type="dxa"/>
          </w:tcPr>
          <w:p w14:paraId="4F26759A" w14:textId="77777777" w:rsidR="00711E12" w:rsidRDefault="003836DB" w:rsidP="00711E12">
            <w:pPr>
              <w:jc w:val="center"/>
              <w:rPr>
                <w:rFonts w:ascii="Times New Roman" w:hAnsi="Times New Roman"/>
                <w:sz w:val="24"/>
                <w:szCs w:val="24"/>
              </w:rPr>
            </w:pPr>
          </w:p>
          <w:p w14:paraId="117A70D0" w14:textId="77777777" w:rsidR="00711E12" w:rsidRDefault="003836DB" w:rsidP="00711E12">
            <w:pPr>
              <w:jc w:val="center"/>
              <w:rPr>
                <w:rFonts w:ascii="Times New Roman" w:hAnsi="Times New Roman"/>
                <w:sz w:val="24"/>
                <w:szCs w:val="24"/>
              </w:rPr>
            </w:pPr>
          </w:p>
          <w:p w14:paraId="21468334" w14:textId="77777777" w:rsidR="00711E12" w:rsidRDefault="003836DB" w:rsidP="00711E12">
            <w:pPr>
              <w:jc w:val="center"/>
              <w:rPr>
                <w:rFonts w:ascii="Times New Roman" w:hAnsi="Times New Roman"/>
                <w:sz w:val="24"/>
                <w:szCs w:val="24"/>
              </w:rPr>
            </w:pPr>
          </w:p>
          <w:p w14:paraId="292418BD" w14:textId="77777777" w:rsidR="00711E12" w:rsidRPr="001578C8" w:rsidRDefault="005B7455" w:rsidP="00711E12">
            <w:pPr>
              <w:jc w:val="center"/>
              <w:rPr>
                <w:rFonts w:ascii="Times New Roman" w:hAnsi="Times New Roman"/>
                <w:sz w:val="24"/>
                <w:szCs w:val="24"/>
              </w:rPr>
            </w:pPr>
            <w:r>
              <w:rPr>
                <w:rFonts w:ascii="Times New Roman" w:hAnsi="Times New Roman"/>
                <w:sz w:val="24"/>
                <w:szCs w:val="24"/>
              </w:rPr>
              <w:t>What Happened?</w:t>
            </w:r>
          </w:p>
        </w:tc>
        <w:tc>
          <w:tcPr>
            <w:tcW w:w="7134" w:type="dxa"/>
          </w:tcPr>
          <w:p w14:paraId="68D5E300" w14:textId="77777777" w:rsidR="00711E12" w:rsidRDefault="003836DB" w:rsidP="00711E12">
            <w:pPr>
              <w:rPr>
                <w:rFonts w:ascii="Times New Roman" w:hAnsi="Times New Roman"/>
                <w:sz w:val="24"/>
                <w:szCs w:val="24"/>
              </w:rPr>
            </w:pPr>
          </w:p>
          <w:p w14:paraId="707256C1" w14:textId="4138A9C3" w:rsidR="00711E12" w:rsidRPr="001578C8" w:rsidRDefault="005B7455" w:rsidP="00711E12">
            <w:pPr>
              <w:rPr>
                <w:rFonts w:ascii="Times New Roman" w:hAnsi="Times New Roman"/>
                <w:sz w:val="24"/>
                <w:szCs w:val="24"/>
              </w:rPr>
            </w:pPr>
            <w:r w:rsidRPr="008669E6">
              <w:rPr>
                <w:rFonts w:ascii="Times New Roman" w:hAnsi="Times New Roman"/>
                <w:sz w:val="24"/>
                <w:szCs w:val="24"/>
              </w:rPr>
              <w:t>On Feb 24, 2021 On Q Financial determined that customer data was possibly exposed</w:t>
            </w:r>
            <w:r w:rsidR="00947899">
              <w:rPr>
                <w:rFonts w:ascii="Times New Roman" w:hAnsi="Times New Roman"/>
                <w:sz w:val="24"/>
                <w:szCs w:val="24"/>
              </w:rPr>
              <w:t xml:space="preserve"> between Feb. 22, 2021 through Feb. 23, 2021</w:t>
            </w:r>
            <w:r w:rsidRPr="008669E6">
              <w:rPr>
                <w:rFonts w:ascii="Times New Roman" w:hAnsi="Times New Roman"/>
                <w:sz w:val="24"/>
                <w:szCs w:val="24"/>
              </w:rPr>
              <w:t xml:space="preserve"> from one of our backup storage location</w:t>
            </w:r>
            <w:r>
              <w:rPr>
                <w:rFonts w:ascii="Times New Roman" w:hAnsi="Times New Roman"/>
                <w:sz w:val="24"/>
                <w:szCs w:val="24"/>
              </w:rPr>
              <w:t>s</w:t>
            </w:r>
            <w:r w:rsidRPr="008669E6">
              <w:rPr>
                <w:rFonts w:ascii="Times New Roman" w:hAnsi="Times New Roman"/>
                <w:sz w:val="24"/>
                <w:szCs w:val="24"/>
              </w:rPr>
              <w:t xml:space="preserve"> and was immediately rectified.</w:t>
            </w:r>
          </w:p>
        </w:tc>
      </w:tr>
      <w:tr w:rsidR="00814A08" w14:paraId="2DA09F3F" w14:textId="77777777" w:rsidTr="00711E12">
        <w:trPr>
          <w:trHeight w:val="1845"/>
        </w:trPr>
        <w:tc>
          <w:tcPr>
            <w:tcW w:w="2168" w:type="dxa"/>
          </w:tcPr>
          <w:p w14:paraId="10686E1F" w14:textId="77777777" w:rsidR="00711E12" w:rsidRDefault="003836DB" w:rsidP="00711E12">
            <w:pPr>
              <w:jc w:val="center"/>
              <w:rPr>
                <w:rFonts w:ascii="Times New Roman" w:hAnsi="Times New Roman"/>
                <w:sz w:val="24"/>
                <w:szCs w:val="24"/>
              </w:rPr>
            </w:pPr>
          </w:p>
          <w:p w14:paraId="115567C4" w14:textId="77777777" w:rsidR="00711E12" w:rsidRDefault="003836DB" w:rsidP="00711E12">
            <w:pPr>
              <w:jc w:val="center"/>
              <w:rPr>
                <w:rFonts w:ascii="Times New Roman" w:hAnsi="Times New Roman"/>
                <w:sz w:val="24"/>
                <w:szCs w:val="24"/>
              </w:rPr>
            </w:pPr>
          </w:p>
          <w:p w14:paraId="147A8F24" w14:textId="77777777" w:rsidR="00711E12" w:rsidRPr="001578C8" w:rsidRDefault="005B7455" w:rsidP="00711E12">
            <w:pPr>
              <w:jc w:val="center"/>
              <w:rPr>
                <w:rFonts w:ascii="Times New Roman" w:hAnsi="Times New Roman"/>
                <w:sz w:val="24"/>
                <w:szCs w:val="24"/>
              </w:rPr>
            </w:pPr>
            <w:r>
              <w:rPr>
                <w:rFonts w:ascii="Times New Roman" w:hAnsi="Times New Roman"/>
                <w:sz w:val="24"/>
                <w:szCs w:val="24"/>
              </w:rPr>
              <w:t>What Information Was Involved?</w:t>
            </w:r>
          </w:p>
        </w:tc>
        <w:tc>
          <w:tcPr>
            <w:tcW w:w="7134" w:type="dxa"/>
          </w:tcPr>
          <w:p w14:paraId="3CD20FC0" w14:textId="77777777" w:rsidR="00711E12" w:rsidRDefault="003836DB" w:rsidP="00711E12">
            <w:pPr>
              <w:rPr>
                <w:rFonts w:ascii="Times New Roman" w:hAnsi="Times New Roman"/>
                <w:sz w:val="24"/>
                <w:szCs w:val="24"/>
              </w:rPr>
            </w:pPr>
          </w:p>
          <w:p w14:paraId="61B31104" w14:textId="4EF07036" w:rsidR="00711E12" w:rsidRPr="001578C8" w:rsidRDefault="005B7455" w:rsidP="00F05E46">
            <w:pPr>
              <w:rPr>
                <w:rFonts w:ascii="Times New Roman" w:hAnsi="Times New Roman"/>
                <w:sz w:val="24"/>
                <w:szCs w:val="24"/>
              </w:rPr>
            </w:pPr>
            <w:r>
              <w:rPr>
                <w:rFonts w:ascii="Times New Roman" w:hAnsi="Times New Roman"/>
                <w:sz w:val="24"/>
                <w:szCs w:val="24"/>
              </w:rPr>
              <w:t xml:space="preserve">This breach may have compromised one or more of the following categories of personally identifiable information of the affected customers:  Name, Address, FICO Score, Bank Account Information, Loan information, </w:t>
            </w:r>
            <w:r w:rsidR="009A76E5">
              <w:rPr>
                <w:rFonts w:ascii="Times New Roman" w:hAnsi="Times New Roman"/>
                <w:sz w:val="24"/>
                <w:szCs w:val="24"/>
              </w:rPr>
              <w:t xml:space="preserve">Bank Account Information </w:t>
            </w:r>
            <w:r>
              <w:rPr>
                <w:rFonts w:ascii="Times New Roman" w:hAnsi="Times New Roman"/>
                <w:sz w:val="24"/>
                <w:szCs w:val="24"/>
              </w:rPr>
              <w:t>including Social Security Numbers.</w:t>
            </w:r>
          </w:p>
        </w:tc>
      </w:tr>
      <w:tr w:rsidR="00814A08" w14:paraId="2D32B262" w14:textId="77777777" w:rsidTr="00711E12">
        <w:trPr>
          <w:trHeight w:val="1954"/>
        </w:trPr>
        <w:tc>
          <w:tcPr>
            <w:tcW w:w="2168" w:type="dxa"/>
          </w:tcPr>
          <w:p w14:paraId="0609F0BB" w14:textId="77777777" w:rsidR="00711E12" w:rsidRDefault="003836DB" w:rsidP="00711E12">
            <w:pPr>
              <w:jc w:val="center"/>
              <w:rPr>
                <w:rFonts w:ascii="Times New Roman" w:hAnsi="Times New Roman"/>
                <w:sz w:val="24"/>
                <w:szCs w:val="24"/>
              </w:rPr>
            </w:pPr>
          </w:p>
          <w:p w14:paraId="4664FC4B" w14:textId="77777777" w:rsidR="00711E12" w:rsidRDefault="003836DB" w:rsidP="00711E12">
            <w:pPr>
              <w:jc w:val="center"/>
              <w:rPr>
                <w:rFonts w:ascii="Times New Roman" w:hAnsi="Times New Roman"/>
                <w:sz w:val="24"/>
                <w:szCs w:val="24"/>
              </w:rPr>
            </w:pPr>
          </w:p>
          <w:p w14:paraId="2B2F923A" w14:textId="77777777" w:rsidR="00711E12" w:rsidRPr="001578C8" w:rsidRDefault="005B7455" w:rsidP="00711E12">
            <w:pPr>
              <w:jc w:val="center"/>
              <w:rPr>
                <w:rFonts w:ascii="Times New Roman" w:hAnsi="Times New Roman"/>
                <w:sz w:val="24"/>
                <w:szCs w:val="24"/>
              </w:rPr>
            </w:pPr>
            <w:r>
              <w:rPr>
                <w:rFonts w:ascii="Times New Roman" w:hAnsi="Times New Roman"/>
                <w:sz w:val="24"/>
                <w:szCs w:val="24"/>
              </w:rPr>
              <w:t>What We Are Doing.</w:t>
            </w:r>
          </w:p>
        </w:tc>
        <w:tc>
          <w:tcPr>
            <w:tcW w:w="7134" w:type="dxa"/>
          </w:tcPr>
          <w:p w14:paraId="5B0991C3" w14:textId="77777777" w:rsidR="00711E12" w:rsidRDefault="003836DB" w:rsidP="00711E12">
            <w:pPr>
              <w:rPr>
                <w:rFonts w:ascii="Times New Roman" w:hAnsi="Times New Roman"/>
                <w:sz w:val="24"/>
                <w:szCs w:val="24"/>
              </w:rPr>
            </w:pPr>
          </w:p>
          <w:p w14:paraId="1929C5C0" w14:textId="77777777" w:rsidR="00711E12" w:rsidRDefault="005B7455" w:rsidP="00711E12">
            <w:pPr>
              <w:rPr>
                <w:rFonts w:ascii="Times New Roman" w:hAnsi="Times New Roman"/>
                <w:sz w:val="24"/>
                <w:szCs w:val="24"/>
              </w:rPr>
            </w:pPr>
            <w:r>
              <w:rPr>
                <w:rFonts w:ascii="Times New Roman" w:hAnsi="Times New Roman"/>
                <w:sz w:val="24"/>
                <w:szCs w:val="24"/>
              </w:rPr>
              <w:t xml:space="preserve">Upon discovering this breach, On Q Financial immediately secured and restricted access to the storage location and all potentially impacted customer data.  We are working diligently to determine the cause of this transfer.  We have also increased the monitoring of data transfers to help prevent similar incidents in the future. </w:t>
            </w:r>
          </w:p>
          <w:p w14:paraId="72941D68" w14:textId="77777777" w:rsidR="00F80326" w:rsidRDefault="003836DB" w:rsidP="00711E12">
            <w:pPr>
              <w:rPr>
                <w:rFonts w:ascii="Times New Roman" w:hAnsi="Times New Roman"/>
                <w:sz w:val="24"/>
                <w:szCs w:val="24"/>
              </w:rPr>
            </w:pPr>
          </w:p>
          <w:p w14:paraId="373903A3" w14:textId="190FCD1C" w:rsidR="00F80326" w:rsidRDefault="005B7455" w:rsidP="00711E12">
            <w:pPr>
              <w:rPr>
                <w:rFonts w:ascii="Times New Roman" w:hAnsi="Times New Roman"/>
                <w:sz w:val="24"/>
                <w:szCs w:val="24"/>
              </w:rPr>
            </w:pPr>
            <w:r w:rsidRPr="00DD2775">
              <w:rPr>
                <w:rFonts w:ascii="Times New Roman" w:hAnsi="Times New Roman"/>
                <w:sz w:val="24"/>
                <w:szCs w:val="24"/>
              </w:rPr>
              <w:t xml:space="preserve">We are offering you a credit monitoring service at no cost for </w:t>
            </w:r>
            <w:r w:rsidR="009A76E5">
              <w:rPr>
                <w:rFonts w:ascii="Times New Roman" w:hAnsi="Times New Roman"/>
                <w:sz w:val="24"/>
                <w:szCs w:val="24"/>
              </w:rPr>
              <w:t>12</w:t>
            </w:r>
            <w:r w:rsidRPr="00DD2775">
              <w:rPr>
                <w:rFonts w:ascii="Times New Roman" w:hAnsi="Times New Roman"/>
                <w:sz w:val="24"/>
                <w:szCs w:val="24"/>
              </w:rPr>
              <w:t xml:space="preserve"> months through </w:t>
            </w:r>
            <w:proofErr w:type="spellStart"/>
            <w:r w:rsidRPr="00DD2775">
              <w:rPr>
                <w:rFonts w:ascii="Times New Roman" w:hAnsi="Times New Roman"/>
                <w:sz w:val="24"/>
                <w:szCs w:val="24"/>
              </w:rPr>
              <w:t>NortonLifeLock</w:t>
            </w:r>
            <w:proofErr w:type="spellEnd"/>
            <w:r w:rsidRPr="00DD2775">
              <w:rPr>
                <w:rFonts w:ascii="Times New Roman" w:hAnsi="Times New Roman"/>
                <w:sz w:val="24"/>
                <w:szCs w:val="24"/>
              </w:rPr>
              <w:t>.  To enroll in this free credit monitoring service, please review the enclosed form.</w:t>
            </w:r>
          </w:p>
          <w:p w14:paraId="214D4A93" w14:textId="77777777" w:rsidR="00C752ED" w:rsidRPr="001578C8" w:rsidRDefault="003836DB" w:rsidP="00711E12">
            <w:pPr>
              <w:rPr>
                <w:rFonts w:ascii="Times New Roman" w:hAnsi="Times New Roman"/>
                <w:sz w:val="24"/>
                <w:szCs w:val="24"/>
              </w:rPr>
            </w:pPr>
          </w:p>
        </w:tc>
      </w:tr>
      <w:tr w:rsidR="00814A08" w14:paraId="0AFA6D72" w14:textId="77777777" w:rsidTr="00711E12">
        <w:trPr>
          <w:trHeight w:val="1845"/>
        </w:trPr>
        <w:tc>
          <w:tcPr>
            <w:tcW w:w="2168" w:type="dxa"/>
          </w:tcPr>
          <w:p w14:paraId="0CF2304C" w14:textId="77777777" w:rsidR="00711E12" w:rsidRDefault="003836DB" w:rsidP="00711E12">
            <w:pPr>
              <w:jc w:val="center"/>
              <w:rPr>
                <w:rFonts w:ascii="Times New Roman" w:hAnsi="Times New Roman"/>
                <w:sz w:val="24"/>
                <w:szCs w:val="24"/>
              </w:rPr>
            </w:pPr>
          </w:p>
          <w:p w14:paraId="42338D28" w14:textId="77777777" w:rsidR="00711E12" w:rsidRDefault="003836DB" w:rsidP="00711E12">
            <w:pPr>
              <w:jc w:val="center"/>
              <w:rPr>
                <w:rFonts w:ascii="Times New Roman" w:hAnsi="Times New Roman"/>
                <w:sz w:val="24"/>
                <w:szCs w:val="24"/>
              </w:rPr>
            </w:pPr>
          </w:p>
          <w:p w14:paraId="4EBAFE30" w14:textId="77777777" w:rsidR="00711E12" w:rsidRDefault="003836DB" w:rsidP="00711E12">
            <w:pPr>
              <w:jc w:val="center"/>
              <w:rPr>
                <w:rFonts w:ascii="Times New Roman" w:hAnsi="Times New Roman"/>
                <w:sz w:val="24"/>
                <w:szCs w:val="24"/>
              </w:rPr>
            </w:pPr>
          </w:p>
          <w:p w14:paraId="76B65C4A" w14:textId="77777777" w:rsidR="00711E12" w:rsidRDefault="003836DB" w:rsidP="00711E12">
            <w:pPr>
              <w:jc w:val="center"/>
              <w:rPr>
                <w:rFonts w:ascii="Times New Roman" w:hAnsi="Times New Roman"/>
                <w:sz w:val="24"/>
                <w:szCs w:val="24"/>
              </w:rPr>
            </w:pPr>
          </w:p>
          <w:p w14:paraId="4CFF6F74" w14:textId="77777777" w:rsidR="00711E12" w:rsidRPr="001578C8" w:rsidRDefault="005B7455" w:rsidP="00711E12">
            <w:pPr>
              <w:jc w:val="center"/>
              <w:rPr>
                <w:rFonts w:ascii="Times New Roman" w:hAnsi="Times New Roman"/>
                <w:sz w:val="24"/>
                <w:szCs w:val="24"/>
              </w:rPr>
            </w:pPr>
            <w:r>
              <w:rPr>
                <w:rFonts w:ascii="Times New Roman" w:hAnsi="Times New Roman"/>
                <w:sz w:val="24"/>
                <w:szCs w:val="24"/>
              </w:rPr>
              <w:t>What You Can Do.</w:t>
            </w:r>
          </w:p>
        </w:tc>
        <w:tc>
          <w:tcPr>
            <w:tcW w:w="7134" w:type="dxa"/>
          </w:tcPr>
          <w:p w14:paraId="7E63969E" w14:textId="77777777" w:rsidR="00711E12" w:rsidRDefault="003836DB" w:rsidP="00711E12">
            <w:pPr>
              <w:rPr>
                <w:rFonts w:ascii="Times New Roman" w:hAnsi="Times New Roman"/>
                <w:sz w:val="24"/>
                <w:szCs w:val="24"/>
              </w:rPr>
            </w:pPr>
          </w:p>
          <w:p w14:paraId="4D9637AA" w14:textId="77777777" w:rsidR="00711E12" w:rsidRDefault="005B7455" w:rsidP="00711E12">
            <w:pPr>
              <w:rPr>
                <w:rFonts w:ascii="Times New Roman" w:hAnsi="Times New Roman"/>
                <w:sz w:val="24"/>
                <w:szCs w:val="24"/>
              </w:rPr>
            </w:pPr>
            <w:r>
              <w:rPr>
                <w:rFonts w:ascii="Times New Roman" w:hAnsi="Times New Roman"/>
                <w:sz w:val="24"/>
                <w:szCs w:val="24"/>
              </w:rPr>
              <w:t xml:space="preserve">We recommend that you place a fraud alert on your credit file. A fraud alert tells creditors to contact you before they open any new accounts or change your existing accounts. Call any one of the three major credit bureaus. As soon as one credit bureau confirms your fraud alert, the others are notified to place fraud alerts. The initial fraud alert stays on your credit report for 90 days. You can renew it after 90 days. </w:t>
            </w:r>
          </w:p>
          <w:p w14:paraId="16E24FCC" w14:textId="77777777" w:rsidR="00711E12" w:rsidRDefault="003836DB" w:rsidP="00711E12">
            <w:pPr>
              <w:rPr>
                <w:rFonts w:ascii="Times New Roman" w:hAnsi="Times New Roman"/>
                <w:sz w:val="24"/>
                <w:szCs w:val="24"/>
              </w:rPr>
            </w:pPr>
          </w:p>
          <w:p w14:paraId="031C1330" w14:textId="77777777" w:rsidR="00711E12" w:rsidRPr="00916D0A" w:rsidRDefault="005B7455" w:rsidP="007E7DBF">
            <w:pPr>
              <w:ind w:left="329"/>
              <w:rPr>
                <w:rFonts w:ascii="Times New Roman" w:hAnsi="Times New Roman"/>
                <w:b/>
                <w:sz w:val="24"/>
                <w:szCs w:val="24"/>
              </w:rPr>
            </w:pPr>
            <w:r w:rsidRPr="00916D0A">
              <w:rPr>
                <w:rFonts w:ascii="Times New Roman" w:hAnsi="Times New Roman"/>
                <w:b/>
                <w:sz w:val="24"/>
                <w:szCs w:val="24"/>
              </w:rPr>
              <w:lastRenderedPageBreak/>
              <w:t xml:space="preserve">Equifax </w:t>
            </w:r>
          </w:p>
          <w:p w14:paraId="6718D640"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Consumer Fraud Division</w:t>
            </w:r>
          </w:p>
          <w:p w14:paraId="3EE04FD6"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P.O. Box 740256</w:t>
            </w:r>
          </w:p>
          <w:p w14:paraId="3E639584"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Atlanta, GA 30374</w:t>
            </w:r>
          </w:p>
          <w:p w14:paraId="0D6BBB74"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1-800-525-6285</w:t>
            </w:r>
          </w:p>
          <w:p w14:paraId="79030417"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Equifax.com</w:t>
            </w:r>
          </w:p>
          <w:p w14:paraId="03C0D3FB" w14:textId="77777777" w:rsidR="00711E12" w:rsidRPr="00DD2775" w:rsidRDefault="003836DB" w:rsidP="007E7DBF">
            <w:pPr>
              <w:ind w:left="329"/>
              <w:rPr>
                <w:rFonts w:ascii="Times New Roman" w:hAnsi="Times New Roman"/>
                <w:sz w:val="24"/>
                <w:szCs w:val="24"/>
              </w:rPr>
            </w:pPr>
          </w:p>
          <w:p w14:paraId="1790EDC6" w14:textId="77777777" w:rsidR="00711E12" w:rsidRPr="00916D0A" w:rsidRDefault="005B7455" w:rsidP="007E7DBF">
            <w:pPr>
              <w:ind w:left="329"/>
              <w:rPr>
                <w:rFonts w:ascii="Times New Roman" w:hAnsi="Times New Roman"/>
                <w:b/>
                <w:sz w:val="24"/>
                <w:szCs w:val="24"/>
              </w:rPr>
            </w:pPr>
            <w:r w:rsidRPr="00916D0A">
              <w:rPr>
                <w:rFonts w:ascii="Times New Roman" w:hAnsi="Times New Roman"/>
                <w:b/>
                <w:sz w:val="24"/>
                <w:szCs w:val="24"/>
              </w:rPr>
              <w:t xml:space="preserve">Experian </w:t>
            </w:r>
          </w:p>
          <w:p w14:paraId="2DFE7124"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Consumer Fraud Assistance</w:t>
            </w:r>
          </w:p>
          <w:p w14:paraId="15472C00"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P.O. Box 9556</w:t>
            </w:r>
          </w:p>
          <w:p w14:paraId="666FBF22"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Allen, TX 75013</w:t>
            </w:r>
          </w:p>
          <w:p w14:paraId="680471F6" w14:textId="77777777" w:rsidR="00711E12" w:rsidRPr="00DD2775" w:rsidRDefault="005B7455" w:rsidP="007E7DBF">
            <w:pPr>
              <w:ind w:left="329"/>
              <w:rPr>
                <w:rFonts w:ascii="Times New Roman" w:hAnsi="Times New Roman"/>
                <w:sz w:val="24"/>
                <w:szCs w:val="24"/>
              </w:rPr>
            </w:pPr>
            <w:r w:rsidRPr="00DD2775">
              <w:rPr>
                <w:rFonts w:ascii="Times New Roman" w:hAnsi="Times New Roman"/>
                <w:sz w:val="24"/>
                <w:szCs w:val="24"/>
              </w:rPr>
              <w:t>888-397-3742</w:t>
            </w:r>
          </w:p>
          <w:p w14:paraId="0D94D8D1"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Experian.com</w:t>
            </w:r>
          </w:p>
          <w:p w14:paraId="224E735D" w14:textId="77777777" w:rsidR="007E7DBF" w:rsidRPr="00DD2775" w:rsidRDefault="003836DB" w:rsidP="007E7DBF">
            <w:pPr>
              <w:ind w:left="329"/>
              <w:rPr>
                <w:rFonts w:ascii="Times New Roman" w:hAnsi="Times New Roman"/>
                <w:sz w:val="24"/>
                <w:szCs w:val="24"/>
              </w:rPr>
            </w:pPr>
          </w:p>
          <w:p w14:paraId="36AC7B6C" w14:textId="77777777" w:rsidR="007E7DBF" w:rsidRPr="00916D0A" w:rsidRDefault="005B7455" w:rsidP="007E7DBF">
            <w:pPr>
              <w:ind w:left="329"/>
              <w:rPr>
                <w:rFonts w:ascii="Times New Roman" w:hAnsi="Times New Roman"/>
                <w:b/>
                <w:sz w:val="24"/>
                <w:szCs w:val="24"/>
              </w:rPr>
            </w:pPr>
            <w:r w:rsidRPr="00916D0A">
              <w:rPr>
                <w:rFonts w:ascii="Times New Roman" w:hAnsi="Times New Roman"/>
                <w:b/>
                <w:sz w:val="24"/>
                <w:szCs w:val="24"/>
              </w:rPr>
              <w:t>TransUnion</w:t>
            </w:r>
          </w:p>
          <w:p w14:paraId="1207A066"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Consumer Relations &amp; Fraud Victim Assistance</w:t>
            </w:r>
          </w:p>
          <w:p w14:paraId="49A12B71"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 xml:space="preserve">1561 E. </w:t>
            </w:r>
            <w:proofErr w:type="spellStart"/>
            <w:r w:rsidRPr="00DD2775">
              <w:rPr>
                <w:rFonts w:ascii="Times New Roman" w:hAnsi="Times New Roman"/>
                <w:sz w:val="24"/>
                <w:szCs w:val="24"/>
              </w:rPr>
              <w:t>Orangethorpe</w:t>
            </w:r>
            <w:proofErr w:type="spellEnd"/>
            <w:r w:rsidRPr="00DD2775">
              <w:rPr>
                <w:rFonts w:ascii="Times New Roman" w:hAnsi="Times New Roman"/>
                <w:sz w:val="24"/>
                <w:szCs w:val="24"/>
              </w:rPr>
              <w:t xml:space="preserve"> Ave.</w:t>
            </w:r>
          </w:p>
          <w:p w14:paraId="470C6558"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Fullerton, CA 92831</w:t>
            </w:r>
          </w:p>
          <w:p w14:paraId="4198ABE6" w14:textId="77777777" w:rsidR="007E7DBF" w:rsidRPr="00DD2775" w:rsidRDefault="005B7455" w:rsidP="007E7DBF">
            <w:pPr>
              <w:ind w:left="329"/>
              <w:rPr>
                <w:rFonts w:ascii="Times New Roman" w:hAnsi="Times New Roman"/>
                <w:sz w:val="24"/>
                <w:szCs w:val="24"/>
              </w:rPr>
            </w:pPr>
            <w:r w:rsidRPr="00DD2775">
              <w:rPr>
                <w:rFonts w:ascii="Times New Roman" w:hAnsi="Times New Roman"/>
                <w:sz w:val="24"/>
                <w:szCs w:val="24"/>
              </w:rPr>
              <w:t>1-800-680-7289</w:t>
            </w:r>
          </w:p>
          <w:p w14:paraId="1907629C" w14:textId="77777777" w:rsidR="00711E12" w:rsidRDefault="005B7455" w:rsidP="007E7DBF">
            <w:pPr>
              <w:ind w:left="329"/>
              <w:rPr>
                <w:rFonts w:ascii="Times New Roman" w:hAnsi="Times New Roman"/>
                <w:sz w:val="24"/>
                <w:szCs w:val="24"/>
              </w:rPr>
            </w:pPr>
            <w:r w:rsidRPr="00DD2775">
              <w:rPr>
                <w:rFonts w:ascii="Times New Roman" w:hAnsi="Times New Roman"/>
                <w:sz w:val="24"/>
                <w:szCs w:val="24"/>
              </w:rPr>
              <w:t>Transunion.com</w:t>
            </w:r>
            <w:r>
              <w:rPr>
                <w:rFonts w:ascii="Times New Roman" w:hAnsi="Times New Roman"/>
                <w:sz w:val="24"/>
                <w:szCs w:val="24"/>
              </w:rPr>
              <w:t xml:space="preserve"> </w:t>
            </w:r>
          </w:p>
          <w:p w14:paraId="4B5EBC29" w14:textId="77777777" w:rsidR="00711E12" w:rsidRDefault="003836DB" w:rsidP="00711E12">
            <w:pPr>
              <w:rPr>
                <w:rFonts w:ascii="Times New Roman" w:hAnsi="Times New Roman"/>
                <w:sz w:val="24"/>
                <w:szCs w:val="24"/>
              </w:rPr>
            </w:pPr>
          </w:p>
          <w:p w14:paraId="0C65414C" w14:textId="77777777" w:rsidR="008669E6" w:rsidRDefault="005B7455" w:rsidP="008669E6">
            <w:pPr>
              <w:rPr>
                <w:rFonts w:ascii="Times New Roman" w:hAnsi="Times New Roman"/>
                <w:sz w:val="24"/>
                <w:szCs w:val="24"/>
              </w:rPr>
            </w:pPr>
            <w:r w:rsidRPr="00DD2775">
              <w:rPr>
                <w:rFonts w:ascii="Times New Roman" w:hAnsi="Times New Roman"/>
                <w:sz w:val="24"/>
                <w:szCs w:val="24"/>
              </w:rPr>
              <w:t>We urge you to remain vigilant by reviewing your account statements and monitoring your free credit reports.</w:t>
            </w:r>
            <w:r>
              <w:rPr>
                <w:rFonts w:ascii="Times New Roman" w:hAnsi="Times New Roman"/>
                <w:sz w:val="24"/>
                <w:szCs w:val="24"/>
              </w:rPr>
              <w:t xml:space="preserve"> </w:t>
            </w:r>
          </w:p>
          <w:p w14:paraId="2386B044" w14:textId="77777777" w:rsidR="00F80326" w:rsidRDefault="003836DB" w:rsidP="00711E12">
            <w:pPr>
              <w:rPr>
                <w:rFonts w:ascii="Times New Roman" w:hAnsi="Times New Roman"/>
                <w:sz w:val="24"/>
                <w:szCs w:val="24"/>
              </w:rPr>
            </w:pPr>
          </w:p>
          <w:p w14:paraId="0124E844" w14:textId="77777777" w:rsidR="00711E12" w:rsidRDefault="005B7455" w:rsidP="00711E12">
            <w:pPr>
              <w:rPr>
                <w:rFonts w:ascii="Times New Roman" w:hAnsi="Times New Roman"/>
                <w:sz w:val="24"/>
                <w:szCs w:val="24"/>
              </w:rPr>
            </w:pPr>
            <w:r>
              <w:rPr>
                <w:rFonts w:ascii="Times New Roman" w:hAnsi="Times New Roman"/>
                <w:sz w:val="24"/>
                <w:szCs w:val="24"/>
              </w:rPr>
              <w:t xml:space="preserve">Request that all three credit reports be sent to you, free of charge, for your review. Even if you do not find any suspicious activity on your initial credit reports, the Federal Trade Commission (FTC) recommends that you check your credit reports periodically. Thieves may hold stolen information to use at different times. Checking your credit reports periodically can help you spot problems and address them quickly. </w:t>
            </w:r>
          </w:p>
          <w:p w14:paraId="7FEF17B8" w14:textId="77777777" w:rsidR="00711E12" w:rsidRDefault="003836DB" w:rsidP="00711E12">
            <w:pPr>
              <w:rPr>
                <w:rFonts w:ascii="Times New Roman" w:hAnsi="Times New Roman"/>
                <w:sz w:val="24"/>
                <w:szCs w:val="24"/>
              </w:rPr>
            </w:pPr>
          </w:p>
          <w:p w14:paraId="126DF5B1" w14:textId="77777777" w:rsidR="00711E12" w:rsidRDefault="005B7455" w:rsidP="00711E12">
            <w:pPr>
              <w:rPr>
                <w:rFonts w:ascii="Times New Roman" w:hAnsi="Times New Roman"/>
                <w:sz w:val="24"/>
                <w:szCs w:val="24"/>
              </w:rPr>
            </w:pPr>
            <w:r>
              <w:rPr>
                <w:rFonts w:ascii="Times New Roman" w:hAnsi="Times New Roman"/>
                <w:sz w:val="24"/>
                <w:szCs w:val="24"/>
              </w:rPr>
              <w:t>If you find suspicious activity on your credit reports or have reason to believe your information is being misused, file a police report. Get a copy of the police report; you may need it to clear up the fraudulent debts.</w:t>
            </w:r>
          </w:p>
          <w:p w14:paraId="1F775275" w14:textId="77777777" w:rsidR="00711E12" w:rsidRDefault="003836DB" w:rsidP="00711E12">
            <w:pPr>
              <w:rPr>
                <w:rFonts w:ascii="Times New Roman" w:hAnsi="Times New Roman"/>
                <w:sz w:val="24"/>
                <w:szCs w:val="24"/>
              </w:rPr>
            </w:pPr>
          </w:p>
          <w:p w14:paraId="3FA30D19" w14:textId="77777777" w:rsidR="00711E12" w:rsidRDefault="005B7455" w:rsidP="00F0499E">
            <w:pPr>
              <w:rPr>
                <w:rFonts w:ascii="Times New Roman" w:hAnsi="Times New Roman"/>
                <w:sz w:val="24"/>
                <w:szCs w:val="24"/>
              </w:rPr>
            </w:pPr>
            <w:r>
              <w:rPr>
                <w:rFonts w:ascii="Times New Roman" w:hAnsi="Times New Roman"/>
                <w:sz w:val="24"/>
                <w:szCs w:val="24"/>
              </w:rPr>
              <w:t xml:space="preserve">If your personal information has been misused, visit the FTC’s site at IdentityTheft.gov to get recovery steps and to file an identity theft complaint. Your complaint will be added to the FTC’s Consumer Sentinel Network, where it will be accessible to law enforcers for their investigations. </w:t>
            </w:r>
            <w:r w:rsidRPr="00075D63">
              <w:rPr>
                <w:rFonts w:ascii="Times New Roman" w:hAnsi="Times New Roman"/>
                <w:sz w:val="24"/>
                <w:szCs w:val="24"/>
              </w:rPr>
              <w:t>You may also contact the FTC at 1-877-438-4338 or 600 Pennsylvania Avenue NW, Washington, DC 20580.</w:t>
            </w:r>
          </w:p>
          <w:p w14:paraId="6D3A5391" w14:textId="77777777" w:rsidR="00711E12" w:rsidRDefault="003836DB" w:rsidP="00711E12">
            <w:pPr>
              <w:rPr>
                <w:rFonts w:ascii="Times New Roman" w:hAnsi="Times New Roman"/>
                <w:sz w:val="24"/>
                <w:szCs w:val="24"/>
              </w:rPr>
            </w:pPr>
          </w:p>
          <w:p w14:paraId="71A4D98F" w14:textId="77777777" w:rsidR="00711E12" w:rsidRDefault="005B7455" w:rsidP="00711E12">
            <w:pPr>
              <w:rPr>
                <w:rFonts w:ascii="Times New Roman" w:hAnsi="Times New Roman"/>
                <w:sz w:val="24"/>
                <w:szCs w:val="24"/>
              </w:rPr>
            </w:pPr>
            <w:r>
              <w:rPr>
                <w:rFonts w:ascii="Times New Roman" w:hAnsi="Times New Roman"/>
                <w:sz w:val="24"/>
                <w:szCs w:val="24"/>
              </w:rPr>
              <w:t xml:space="preserve">You also may want to consider contacting the major credit bureaus at the telephone numbers above to place a credit freeze on your credit file </w:t>
            </w:r>
            <w:r w:rsidRPr="00075D63">
              <w:rPr>
                <w:rFonts w:ascii="Times New Roman" w:hAnsi="Times New Roman"/>
                <w:sz w:val="24"/>
                <w:szCs w:val="24"/>
              </w:rPr>
              <w:lastRenderedPageBreak/>
              <w:t>at no cost to you</w:t>
            </w:r>
            <w:r>
              <w:rPr>
                <w:rFonts w:ascii="Times New Roman" w:hAnsi="Times New Roman"/>
                <w:sz w:val="24"/>
                <w:szCs w:val="24"/>
              </w:rPr>
              <w:t xml:space="preserve">. A credit freeze means potential creditors cannot get your credit report. That makes it less likely that an identify thief can open new accounts in your name. </w:t>
            </w:r>
          </w:p>
          <w:p w14:paraId="5C3B34C4" w14:textId="77777777" w:rsidR="00574DFB" w:rsidRDefault="003836DB" w:rsidP="00711E12">
            <w:pPr>
              <w:rPr>
                <w:rFonts w:ascii="Times New Roman" w:hAnsi="Times New Roman"/>
                <w:sz w:val="24"/>
                <w:szCs w:val="24"/>
              </w:rPr>
            </w:pPr>
          </w:p>
          <w:p w14:paraId="666419BE" w14:textId="77777777" w:rsidR="00574DFB" w:rsidRDefault="005B7455" w:rsidP="00574DFB">
            <w:pPr>
              <w:rPr>
                <w:rFonts w:ascii="Times New Roman" w:hAnsi="Times New Roman"/>
                <w:sz w:val="24"/>
                <w:szCs w:val="24"/>
              </w:rPr>
            </w:pPr>
            <w:r w:rsidRPr="009E6315">
              <w:rPr>
                <w:rFonts w:ascii="Times New Roman" w:hAnsi="Times New Roman"/>
                <w:sz w:val="24"/>
                <w:szCs w:val="24"/>
              </w:rPr>
              <w:t>You have rights under the federal Fair Credit Reporting Act (“FCRA”). These include, among others, the right to know what is in your file; to dispute incomplete or inaccurate information; and to have consumer reporting agencies correct or delete inaccurate, incomplete, or unverifiable information. For more information about the FCRA, please visit https://www.consumer.ftc.gov/articles/pdf-0096-fair-credit-reporting-act.pdf or www.ftc.gov.</w:t>
            </w:r>
            <w:r w:rsidRPr="00B347E7">
              <w:rPr>
                <w:rFonts w:ascii="Times New Roman" w:hAnsi="Times New Roman"/>
                <w:sz w:val="24"/>
                <w:szCs w:val="24"/>
              </w:rPr>
              <w:cr/>
            </w:r>
          </w:p>
          <w:p w14:paraId="293C865C" w14:textId="3217D059" w:rsidR="00711E12" w:rsidRDefault="00A303F1" w:rsidP="00711E12">
            <w:pPr>
              <w:rPr>
                <w:rFonts w:ascii="Times New Roman" w:hAnsi="Times New Roman"/>
                <w:sz w:val="24"/>
                <w:szCs w:val="24"/>
              </w:rPr>
            </w:pPr>
            <w:r>
              <w:rPr>
                <w:rFonts w:ascii="Times New Roman" w:hAnsi="Times New Roman"/>
                <w:sz w:val="24"/>
                <w:szCs w:val="24"/>
              </w:rPr>
              <w:t>There are</w:t>
            </w:r>
            <w:r w:rsidR="005B7455">
              <w:rPr>
                <w:rFonts w:ascii="Times New Roman" w:hAnsi="Times New Roman"/>
                <w:sz w:val="24"/>
                <w:szCs w:val="24"/>
              </w:rPr>
              <w:t xml:space="preserve"> steps you can take to help protect yourself from identity theft, depending on the type of information exposed. Please visit </w:t>
            </w:r>
            <w:hyperlink r:id="rId10" w:history="1">
              <w:r w:rsidRPr="005D7BA3">
                <w:rPr>
                  <w:rStyle w:val="Hyperlink"/>
                  <w:rFonts w:ascii="Times New Roman" w:hAnsi="Times New Roman"/>
                  <w:sz w:val="24"/>
                  <w:szCs w:val="24"/>
                </w:rPr>
                <w:t>https://www.consumer.ftc.gov/articles/pdf-0009_identitytheft_a_recovery_plan.pdf</w:t>
              </w:r>
            </w:hyperlink>
            <w:r w:rsidR="005B7455">
              <w:rPr>
                <w:rFonts w:ascii="Times New Roman" w:hAnsi="Times New Roman"/>
                <w:sz w:val="24"/>
                <w:szCs w:val="24"/>
              </w:rPr>
              <w:t xml:space="preserve"> for a free copy of the FTC’s </w:t>
            </w:r>
            <w:r w:rsidR="005B7455" w:rsidRPr="00E8259C">
              <w:rPr>
                <w:rFonts w:ascii="Times New Roman" w:hAnsi="Times New Roman"/>
                <w:i/>
                <w:sz w:val="24"/>
                <w:szCs w:val="24"/>
              </w:rPr>
              <w:t>Identity Theft: A Recovery Plan</w:t>
            </w:r>
            <w:r w:rsidR="005B7455">
              <w:rPr>
                <w:rFonts w:ascii="Times New Roman" w:hAnsi="Times New Roman"/>
                <w:sz w:val="24"/>
                <w:szCs w:val="24"/>
              </w:rPr>
              <w:t xml:space="preserve">, a comprehensive guide on how to help you guard against and deal with identity theft. </w:t>
            </w:r>
          </w:p>
          <w:p w14:paraId="11FB4653" w14:textId="77777777" w:rsidR="00711E12" w:rsidRDefault="003836DB" w:rsidP="00711E12">
            <w:pPr>
              <w:rPr>
                <w:rFonts w:ascii="Times New Roman" w:hAnsi="Times New Roman"/>
                <w:sz w:val="24"/>
                <w:szCs w:val="24"/>
              </w:rPr>
            </w:pPr>
          </w:p>
          <w:p w14:paraId="6FC59BE4" w14:textId="77777777" w:rsidR="00711E12" w:rsidRPr="001578C8" w:rsidRDefault="003836DB" w:rsidP="00711E12">
            <w:pPr>
              <w:rPr>
                <w:rFonts w:ascii="Times New Roman" w:hAnsi="Times New Roman"/>
                <w:sz w:val="24"/>
                <w:szCs w:val="24"/>
              </w:rPr>
            </w:pPr>
          </w:p>
        </w:tc>
      </w:tr>
    </w:tbl>
    <w:p w14:paraId="44456C61" w14:textId="77777777" w:rsidR="001B554C" w:rsidRPr="001B554C" w:rsidRDefault="003836DB" w:rsidP="001B554C">
      <w:pPr>
        <w:rPr>
          <w:rFonts w:ascii="Times New Roman" w:hAnsi="Times New Roman"/>
          <w:sz w:val="24"/>
          <w:szCs w:val="24"/>
        </w:rPr>
      </w:pPr>
    </w:p>
    <w:p w14:paraId="365BA765" w14:textId="77777777" w:rsidR="00324220" w:rsidRDefault="005B7455" w:rsidP="001B554C">
      <w:pPr>
        <w:tabs>
          <w:tab w:val="left" w:pos="1485"/>
        </w:tabs>
        <w:rPr>
          <w:rFonts w:ascii="Times New Roman" w:hAnsi="Times New Roman"/>
          <w:b/>
          <w:sz w:val="24"/>
          <w:szCs w:val="24"/>
        </w:rPr>
      </w:pPr>
      <w:r>
        <w:rPr>
          <w:rFonts w:ascii="Times New Roman" w:hAnsi="Times New Roman"/>
          <w:b/>
          <w:sz w:val="24"/>
          <w:szCs w:val="24"/>
        </w:rPr>
        <w:t>For More Information:</w:t>
      </w:r>
    </w:p>
    <w:p w14:paraId="0CAA2172" w14:textId="359030D5" w:rsidR="001B554C" w:rsidRDefault="005B7455" w:rsidP="00217CD2">
      <w:pPr>
        <w:tabs>
          <w:tab w:val="left" w:pos="1485"/>
        </w:tabs>
        <w:rPr>
          <w:rFonts w:ascii="Times New Roman" w:hAnsi="Times New Roman"/>
          <w:sz w:val="24"/>
          <w:szCs w:val="24"/>
        </w:rPr>
      </w:pPr>
      <w:r>
        <w:rPr>
          <w:rFonts w:ascii="Times New Roman" w:hAnsi="Times New Roman"/>
          <w:sz w:val="24"/>
          <w:szCs w:val="24"/>
        </w:rPr>
        <w:t xml:space="preserve"> </w:t>
      </w:r>
    </w:p>
    <w:p w14:paraId="5ABE55B4" w14:textId="701BB577" w:rsidR="00217CD2" w:rsidRDefault="00217CD2" w:rsidP="00217CD2">
      <w:pPr>
        <w:tabs>
          <w:tab w:val="left" w:pos="1485"/>
        </w:tabs>
        <w:rPr>
          <w:rFonts w:ascii="Times New Roman" w:hAnsi="Times New Roman"/>
          <w:sz w:val="24"/>
          <w:szCs w:val="24"/>
        </w:rPr>
      </w:pPr>
      <w:r>
        <w:rPr>
          <w:rFonts w:ascii="Times New Roman" w:hAnsi="Times New Roman"/>
          <w:sz w:val="24"/>
          <w:szCs w:val="24"/>
        </w:rPr>
        <w:t xml:space="preserve">If you have questions, or would like to sign up with LifeLock over the phone please call </w:t>
      </w:r>
      <w:r w:rsidR="009A76E5">
        <w:rPr>
          <w:rFonts w:ascii="Times New Roman" w:hAnsi="Times New Roman"/>
          <w:sz w:val="24"/>
          <w:szCs w:val="24"/>
        </w:rPr>
        <w:t>(To Follow)</w:t>
      </w:r>
    </w:p>
    <w:p w14:paraId="77AE301F" w14:textId="77777777" w:rsidR="00217CD2" w:rsidRDefault="00217CD2" w:rsidP="00217CD2">
      <w:pPr>
        <w:tabs>
          <w:tab w:val="left" w:pos="1485"/>
        </w:tabs>
        <w:rPr>
          <w:rFonts w:ascii="Times New Roman" w:hAnsi="Times New Roman"/>
          <w:sz w:val="24"/>
          <w:szCs w:val="24"/>
        </w:rPr>
      </w:pPr>
    </w:p>
    <w:p w14:paraId="75D1BD7F" w14:textId="77777777" w:rsidR="00B85722" w:rsidRDefault="003836DB" w:rsidP="00417158">
      <w:pPr>
        <w:rPr>
          <w:rFonts w:ascii="Times New Roman" w:hAnsi="Times New Roman"/>
          <w:sz w:val="24"/>
          <w:szCs w:val="24"/>
        </w:rPr>
      </w:pPr>
    </w:p>
    <w:p w14:paraId="0A5F9BFD" w14:textId="77777777" w:rsidR="00E736CD" w:rsidRDefault="003836DB" w:rsidP="00417158">
      <w:pPr>
        <w:rPr>
          <w:rFonts w:ascii="Times New Roman" w:hAnsi="Times New Roman"/>
          <w:sz w:val="24"/>
          <w:szCs w:val="24"/>
        </w:rPr>
      </w:pPr>
    </w:p>
    <w:p w14:paraId="10EFED4A" w14:textId="77777777" w:rsidR="008669E6" w:rsidRDefault="003836DB" w:rsidP="00417158">
      <w:pPr>
        <w:rPr>
          <w:rFonts w:ascii="Times New Roman" w:hAnsi="Times New Roman"/>
          <w:sz w:val="24"/>
          <w:szCs w:val="24"/>
        </w:rPr>
      </w:pPr>
    </w:p>
    <w:p w14:paraId="5F6EE215" w14:textId="77777777" w:rsidR="008669E6" w:rsidRDefault="003836DB" w:rsidP="00417158">
      <w:pPr>
        <w:rPr>
          <w:rFonts w:ascii="Times New Roman" w:hAnsi="Times New Roman"/>
          <w:sz w:val="24"/>
          <w:szCs w:val="24"/>
        </w:rPr>
      </w:pPr>
    </w:p>
    <w:p w14:paraId="3BE4344B" w14:textId="77777777" w:rsidR="008669E6" w:rsidRDefault="003836DB" w:rsidP="00417158">
      <w:pPr>
        <w:rPr>
          <w:rFonts w:ascii="Times New Roman" w:hAnsi="Times New Roman"/>
          <w:sz w:val="24"/>
          <w:szCs w:val="24"/>
        </w:rPr>
      </w:pPr>
    </w:p>
    <w:p w14:paraId="3CB6F3F8" w14:textId="77777777" w:rsidR="008669E6" w:rsidRDefault="003836DB" w:rsidP="00417158">
      <w:pPr>
        <w:rPr>
          <w:rFonts w:ascii="Times New Roman" w:hAnsi="Times New Roman"/>
          <w:sz w:val="24"/>
          <w:szCs w:val="24"/>
        </w:rPr>
      </w:pPr>
    </w:p>
    <w:p w14:paraId="51BA38F3" w14:textId="77777777" w:rsidR="008669E6" w:rsidRDefault="003836DB" w:rsidP="00417158">
      <w:pPr>
        <w:rPr>
          <w:rFonts w:ascii="Times New Roman" w:hAnsi="Times New Roman"/>
          <w:sz w:val="24"/>
          <w:szCs w:val="24"/>
        </w:rPr>
      </w:pPr>
    </w:p>
    <w:p w14:paraId="7027A388" w14:textId="77777777" w:rsidR="008669E6" w:rsidRDefault="003836DB" w:rsidP="00417158">
      <w:pPr>
        <w:rPr>
          <w:rFonts w:ascii="Times New Roman" w:hAnsi="Times New Roman"/>
          <w:sz w:val="24"/>
          <w:szCs w:val="24"/>
        </w:rPr>
      </w:pPr>
    </w:p>
    <w:p w14:paraId="3BB98FC5" w14:textId="77777777" w:rsidR="00E736CD" w:rsidRDefault="003836DB" w:rsidP="00417158">
      <w:pPr>
        <w:rPr>
          <w:rFonts w:ascii="Times New Roman" w:hAnsi="Times New Roman"/>
          <w:sz w:val="24"/>
          <w:szCs w:val="24"/>
        </w:rPr>
      </w:pPr>
    </w:p>
    <w:p w14:paraId="58CD39AE" w14:textId="77777777" w:rsidR="00E736CD" w:rsidRDefault="003836DB" w:rsidP="00417158">
      <w:pPr>
        <w:rPr>
          <w:rFonts w:ascii="Times New Roman" w:hAnsi="Times New Roman"/>
          <w:sz w:val="24"/>
          <w:szCs w:val="24"/>
        </w:rPr>
      </w:pPr>
    </w:p>
    <w:p w14:paraId="542A9C21" w14:textId="77777777" w:rsidR="00E736CD" w:rsidRDefault="003836DB" w:rsidP="00417158">
      <w:pPr>
        <w:rPr>
          <w:rFonts w:ascii="Times New Roman" w:hAnsi="Times New Roman"/>
          <w:sz w:val="24"/>
          <w:szCs w:val="24"/>
        </w:rPr>
      </w:pPr>
    </w:p>
    <w:p w14:paraId="01B4889E" w14:textId="77777777" w:rsidR="00E736CD" w:rsidRDefault="003836DB" w:rsidP="00417158">
      <w:pPr>
        <w:rPr>
          <w:rFonts w:ascii="Times New Roman" w:hAnsi="Times New Roman"/>
          <w:sz w:val="24"/>
          <w:szCs w:val="24"/>
        </w:rPr>
      </w:pPr>
    </w:p>
    <w:p w14:paraId="05E9B4B9" w14:textId="77777777" w:rsidR="00E736CD" w:rsidRDefault="003836DB" w:rsidP="00417158">
      <w:pPr>
        <w:rPr>
          <w:rFonts w:ascii="Times New Roman" w:hAnsi="Times New Roman"/>
          <w:sz w:val="24"/>
          <w:szCs w:val="24"/>
        </w:rPr>
      </w:pPr>
    </w:p>
    <w:p w14:paraId="71C6CDD6" w14:textId="77777777" w:rsidR="00E736CD" w:rsidRDefault="003836DB" w:rsidP="00417158">
      <w:pPr>
        <w:rPr>
          <w:rFonts w:ascii="Times New Roman" w:hAnsi="Times New Roman"/>
          <w:sz w:val="24"/>
          <w:szCs w:val="24"/>
        </w:rPr>
      </w:pPr>
    </w:p>
    <w:p w14:paraId="72D37727" w14:textId="6EE8794B" w:rsidR="00E736CD" w:rsidRDefault="003836DB" w:rsidP="00417158">
      <w:pPr>
        <w:rPr>
          <w:rFonts w:ascii="Times New Roman" w:hAnsi="Times New Roman"/>
          <w:sz w:val="24"/>
          <w:szCs w:val="24"/>
        </w:rPr>
      </w:pPr>
    </w:p>
    <w:p w14:paraId="67822928" w14:textId="0771C790" w:rsidR="00715B01" w:rsidRDefault="00715B01" w:rsidP="00417158">
      <w:pPr>
        <w:rPr>
          <w:rFonts w:ascii="Times New Roman" w:hAnsi="Times New Roman"/>
          <w:sz w:val="24"/>
          <w:szCs w:val="24"/>
        </w:rPr>
      </w:pPr>
    </w:p>
    <w:p w14:paraId="3301A599" w14:textId="77777777" w:rsidR="00715B01" w:rsidRDefault="00715B01" w:rsidP="00417158">
      <w:pPr>
        <w:rPr>
          <w:rFonts w:ascii="Times New Roman" w:hAnsi="Times New Roman"/>
          <w:sz w:val="24"/>
          <w:szCs w:val="24"/>
        </w:rPr>
      </w:pPr>
    </w:p>
    <w:p w14:paraId="358EFDCB" w14:textId="77777777" w:rsidR="00E736CD" w:rsidRDefault="003836DB" w:rsidP="00417158">
      <w:pPr>
        <w:rPr>
          <w:rFonts w:ascii="Times New Roman" w:hAnsi="Times New Roman"/>
          <w:sz w:val="24"/>
          <w:szCs w:val="24"/>
        </w:rPr>
      </w:pPr>
    </w:p>
    <w:p w14:paraId="49AB1A81" w14:textId="77777777" w:rsidR="00E736CD" w:rsidRDefault="003836DB" w:rsidP="00417158">
      <w:pPr>
        <w:rPr>
          <w:rFonts w:ascii="Times New Roman" w:hAnsi="Times New Roman"/>
          <w:sz w:val="24"/>
          <w:szCs w:val="24"/>
        </w:rPr>
      </w:pPr>
    </w:p>
    <w:p w14:paraId="4424A4D3" w14:textId="35D5762E" w:rsidR="00E736CD" w:rsidRDefault="003836DB" w:rsidP="00417158">
      <w:pPr>
        <w:rPr>
          <w:rFonts w:ascii="Times New Roman" w:hAnsi="Times New Roman"/>
          <w:sz w:val="24"/>
          <w:szCs w:val="24"/>
        </w:rPr>
      </w:pPr>
    </w:p>
    <w:p w14:paraId="5923A278" w14:textId="77777777" w:rsidR="00947899" w:rsidRDefault="00947899" w:rsidP="00417158">
      <w:pPr>
        <w:rPr>
          <w:rFonts w:ascii="Times New Roman" w:hAnsi="Times New Roman"/>
          <w:sz w:val="24"/>
          <w:szCs w:val="24"/>
        </w:rPr>
      </w:pPr>
    </w:p>
    <w:p w14:paraId="4CD403F3" w14:textId="77777777" w:rsidR="00E736CD" w:rsidRDefault="003836DB" w:rsidP="00417158">
      <w:pPr>
        <w:rPr>
          <w:rFonts w:ascii="Times New Roman" w:hAnsi="Times New Roman"/>
          <w:sz w:val="24"/>
          <w:szCs w:val="24"/>
        </w:rPr>
      </w:pPr>
    </w:p>
    <w:p w14:paraId="7CA85E2F" w14:textId="77777777" w:rsidR="00E736CD" w:rsidRPr="00AF6B7E" w:rsidRDefault="005B7455" w:rsidP="00E736CD">
      <w:pPr>
        <w:pStyle w:val="BodyText"/>
        <w:rPr>
          <w:rFonts w:asciiTheme="minorHAnsi" w:hAnsiTheme="minorHAnsi" w:cstheme="minorHAnsi"/>
          <w:color w:val="000000" w:themeColor="text1"/>
          <w:sz w:val="22"/>
          <w:szCs w:val="22"/>
        </w:rPr>
      </w:pPr>
      <w:r w:rsidRPr="00AF6B7E">
        <w:rPr>
          <w:rFonts w:asciiTheme="minorHAnsi" w:hAnsiTheme="minorHAnsi" w:cstheme="minorHAnsi"/>
          <w:color w:val="000000" w:themeColor="text1"/>
          <w:sz w:val="22"/>
          <w:szCs w:val="22"/>
        </w:rPr>
        <w:t xml:space="preserve">Dear </w:t>
      </w:r>
      <w:r w:rsidRPr="001F752B">
        <w:rPr>
          <w:rFonts w:asciiTheme="minorHAnsi" w:hAnsiTheme="minorHAnsi" w:cstheme="minorHAnsi"/>
          <w:b/>
          <w:bCs/>
          <w:color w:val="000000" w:themeColor="text1"/>
          <w:sz w:val="22"/>
          <w:szCs w:val="22"/>
          <w:highlight w:val="yellow"/>
        </w:rPr>
        <w:t>&lt;&lt;FIRST NAME&gt;&gt;</w:t>
      </w:r>
      <w:r w:rsidRPr="00A20C19">
        <w:rPr>
          <w:rFonts w:asciiTheme="minorHAnsi" w:hAnsiTheme="minorHAnsi" w:cstheme="minorHAnsi"/>
          <w:b/>
          <w:bCs/>
          <w:color w:val="000000" w:themeColor="text1"/>
          <w:sz w:val="22"/>
          <w:szCs w:val="22"/>
        </w:rPr>
        <w:t xml:space="preserve"> </w:t>
      </w:r>
      <w:r w:rsidRPr="001F752B">
        <w:rPr>
          <w:rFonts w:asciiTheme="minorHAnsi" w:hAnsiTheme="minorHAnsi" w:cstheme="minorHAnsi"/>
          <w:b/>
          <w:bCs/>
          <w:color w:val="000000" w:themeColor="text1"/>
          <w:sz w:val="22"/>
          <w:szCs w:val="22"/>
          <w:highlight w:val="yellow"/>
        </w:rPr>
        <w:t>&lt;&lt;LAST NAME&gt;&gt;</w:t>
      </w:r>
      <w:r w:rsidRPr="001F752B">
        <w:rPr>
          <w:rFonts w:asciiTheme="minorHAnsi" w:hAnsiTheme="minorHAnsi" w:cstheme="minorHAnsi"/>
          <w:b/>
          <w:bCs/>
          <w:color w:val="000000" w:themeColor="text1"/>
          <w:sz w:val="22"/>
          <w:szCs w:val="22"/>
        </w:rPr>
        <w:t>:</w:t>
      </w:r>
    </w:p>
    <w:p w14:paraId="62323A44" w14:textId="77777777" w:rsidR="00E736CD" w:rsidRPr="00AF6B7E" w:rsidRDefault="003836DB" w:rsidP="00E736CD">
      <w:pPr>
        <w:pStyle w:val="BodyText"/>
        <w:spacing w:before="9"/>
        <w:rPr>
          <w:rFonts w:asciiTheme="minorHAnsi" w:hAnsiTheme="minorHAnsi" w:cstheme="minorHAnsi"/>
          <w:sz w:val="22"/>
          <w:szCs w:val="22"/>
        </w:rPr>
      </w:pPr>
    </w:p>
    <w:p w14:paraId="3BF23305" w14:textId="77777777" w:rsidR="00E736CD" w:rsidRPr="00AF6B7E" w:rsidRDefault="005B7455" w:rsidP="00E736CD">
      <w:pPr>
        <w:pStyle w:val="BodyText"/>
        <w:spacing w:before="1" w:line="242" w:lineRule="auto"/>
        <w:rPr>
          <w:rFonts w:asciiTheme="minorHAnsi" w:hAnsiTheme="minorHAnsi" w:cstheme="minorHAnsi"/>
          <w:sz w:val="22"/>
          <w:szCs w:val="22"/>
        </w:rPr>
      </w:pPr>
      <w:r w:rsidRPr="00AF6B7E">
        <w:rPr>
          <w:rFonts w:asciiTheme="minorHAnsi" w:hAnsiTheme="minorHAnsi" w:cstheme="minorHAnsi"/>
          <w:b/>
          <w:color w:val="000000" w:themeColor="text1"/>
          <w:sz w:val="22"/>
          <w:szCs w:val="22"/>
          <w:highlight w:val="yellow"/>
        </w:rPr>
        <w:t>&lt;&lt;</w:t>
      </w:r>
      <w:r>
        <w:rPr>
          <w:rFonts w:asciiTheme="minorHAnsi" w:hAnsiTheme="minorHAnsi" w:cstheme="minorHAnsi"/>
          <w:b/>
          <w:color w:val="000000" w:themeColor="text1"/>
          <w:sz w:val="22"/>
          <w:szCs w:val="22"/>
          <w:highlight w:val="yellow"/>
        </w:rPr>
        <w:t xml:space="preserve">YOUR </w:t>
      </w:r>
      <w:r w:rsidRPr="00AF6B7E">
        <w:rPr>
          <w:rFonts w:asciiTheme="minorHAnsi" w:hAnsiTheme="minorHAnsi" w:cstheme="minorHAnsi"/>
          <w:b/>
          <w:color w:val="000000" w:themeColor="text1"/>
          <w:sz w:val="22"/>
          <w:szCs w:val="22"/>
          <w:highlight w:val="yellow"/>
        </w:rPr>
        <w:t>COMPANY NAME&gt;&gt;</w:t>
      </w:r>
      <w:r w:rsidRPr="00AF6B7E">
        <w:rPr>
          <w:rFonts w:asciiTheme="minorHAnsi" w:hAnsiTheme="minorHAnsi" w:cstheme="minorHAnsi"/>
          <w:b/>
          <w:color w:val="000000" w:themeColor="text1"/>
          <w:sz w:val="22"/>
          <w:szCs w:val="22"/>
        </w:rPr>
        <w:t xml:space="preserve"> </w:t>
      </w:r>
      <w:r w:rsidRPr="00AF6B7E">
        <w:rPr>
          <w:rFonts w:asciiTheme="minorHAnsi" w:hAnsiTheme="minorHAnsi" w:cstheme="minorHAnsi"/>
          <w:sz w:val="22"/>
          <w:szCs w:val="22"/>
        </w:rPr>
        <w:t xml:space="preserve">has retained </w:t>
      </w:r>
      <w:proofErr w:type="spellStart"/>
      <w:r w:rsidRPr="00AF6B7E">
        <w:rPr>
          <w:rFonts w:asciiTheme="minorHAnsi" w:hAnsiTheme="minorHAnsi" w:cstheme="minorHAnsi"/>
          <w:b/>
          <w:bCs/>
          <w:sz w:val="22"/>
          <w:szCs w:val="22"/>
        </w:rPr>
        <w:t>NortonLifeLock</w:t>
      </w:r>
      <w:proofErr w:type="spellEnd"/>
      <w:r w:rsidRPr="00AF6B7E">
        <w:rPr>
          <w:rFonts w:asciiTheme="minorHAnsi" w:hAnsiTheme="minorHAnsi" w:cstheme="minorHAnsi"/>
          <w:sz w:val="22"/>
          <w:szCs w:val="22"/>
        </w:rPr>
        <w:t xml:space="preserve"> to provide </w:t>
      </w:r>
      <w:r w:rsidRPr="00AF6B7E">
        <w:rPr>
          <w:rFonts w:asciiTheme="minorHAnsi" w:hAnsiTheme="minorHAnsi" w:cstheme="minorHAnsi"/>
          <w:color w:val="000000" w:themeColor="text1"/>
          <w:sz w:val="22"/>
          <w:szCs w:val="22"/>
          <w:highlight w:val="yellow"/>
        </w:rPr>
        <w:t>&lt;&lt;number&gt;&gt;</w:t>
      </w:r>
      <w:r w:rsidRPr="00AF6B7E">
        <w:rPr>
          <w:rFonts w:asciiTheme="minorHAnsi" w:hAnsiTheme="minorHAnsi" w:cstheme="minorHAnsi"/>
          <w:sz w:val="22"/>
          <w:szCs w:val="22"/>
        </w:rPr>
        <w:t xml:space="preserve"> </w:t>
      </w:r>
      <w:r w:rsidRPr="00AF6B7E">
        <w:rPr>
          <w:rFonts w:asciiTheme="minorHAnsi" w:hAnsiTheme="minorHAnsi" w:cstheme="minorHAnsi"/>
          <w:sz w:val="22"/>
          <w:szCs w:val="22"/>
          <w:highlight w:val="yellow"/>
        </w:rPr>
        <w:t>&lt;&lt; (#)&gt;&gt;</w:t>
      </w:r>
      <w:r w:rsidRPr="00AF6B7E">
        <w:rPr>
          <w:rFonts w:asciiTheme="minorHAnsi" w:hAnsiTheme="minorHAnsi" w:cstheme="minorHAnsi"/>
          <w:sz w:val="22"/>
          <w:szCs w:val="22"/>
        </w:rPr>
        <w:t xml:space="preserve"> year</w:t>
      </w:r>
      <w:r w:rsidRPr="00AF6B7E">
        <w:rPr>
          <w:rFonts w:asciiTheme="minorHAnsi" w:hAnsiTheme="minorHAnsi" w:cstheme="minorHAnsi"/>
          <w:sz w:val="22"/>
          <w:szCs w:val="22"/>
          <w:highlight w:val="yellow"/>
        </w:rPr>
        <w:t>&lt;&lt;(s)&gt;&gt;</w:t>
      </w:r>
      <w:r w:rsidRPr="00AF6B7E">
        <w:rPr>
          <w:rFonts w:asciiTheme="minorHAnsi" w:hAnsiTheme="minorHAnsi" w:cstheme="minorHAnsi"/>
          <w:sz w:val="22"/>
          <w:szCs w:val="22"/>
        </w:rPr>
        <w:t xml:space="preserve"> of complimentary </w:t>
      </w:r>
      <w:r w:rsidRPr="00AF6B7E">
        <w:rPr>
          <w:rFonts w:asciiTheme="minorHAnsi" w:hAnsiTheme="minorHAnsi" w:cstheme="minorHAnsi"/>
          <w:b/>
          <w:bCs/>
          <w:sz w:val="22"/>
          <w:szCs w:val="22"/>
        </w:rPr>
        <w:t xml:space="preserve">LifeLock Defender™ </w:t>
      </w:r>
      <w:r>
        <w:rPr>
          <w:rFonts w:asciiTheme="minorHAnsi" w:hAnsiTheme="minorHAnsi" w:cstheme="minorHAnsi"/>
          <w:b/>
          <w:bCs/>
          <w:sz w:val="22"/>
          <w:szCs w:val="22"/>
        </w:rPr>
        <w:t>Preferred</w:t>
      </w:r>
      <w:r w:rsidRPr="00AF6B7E">
        <w:rPr>
          <w:rFonts w:asciiTheme="minorHAnsi" w:hAnsiTheme="minorHAnsi" w:cstheme="minorHAnsi"/>
          <w:sz w:val="22"/>
          <w:szCs w:val="22"/>
        </w:rPr>
        <w:t xml:space="preserve"> identity theft protection.</w:t>
      </w:r>
    </w:p>
    <w:p w14:paraId="559C2B5F" w14:textId="77777777" w:rsidR="00E736CD" w:rsidRPr="00AF6B7E" w:rsidRDefault="003836DB" w:rsidP="00E736CD">
      <w:pPr>
        <w:pStyle w:val="BodyText"/>
        <w:spacing w:before="1"/>
        <w:rPr>
          <w:rFonts w:asciiTheme="minorHAnsi" w:hAnsiTheme="minorHAnsi" w:cstheme="minorHAnsi"/>
          <w:sz w:val="22"/>
          <w:szCs w:val="22"/>
        </w:rPr>
      </w:pPr>
    </w:p>
    <w:p w14:paraId="6338AC35" w14:textId="77777777" w:rsidR="00E736CD" w:rsidRPr="00AF6B7E" w:rsidRDefault="005B7455" w:rsidP="00E736CD">
      <w:pPr>
        <w:pStyle w:val="Heading1"/>
        <w:ind w:left="0"/>
        <w:rPr>
          <w:rFonts w:asciiTheme="minorHAnsi" w:hAnsiTheme="minorHAnsi" w:cstheme="minorHAnsi"/>
          <w:sz w:val="22"/>
          <w:szCs w:val="22"/>
        </w:rPr>
      </w:pPr>
      <w:r w:rsidRPr="00AF6B7E">
        <w:rPr>
          <w:rFonts w:asciiTheme="minorHAnsi" w:hAnsiTheme="minorHAnsi" w:cstheme="minorHAnsi"/>
          <w:sz w:val="22"/>
          <w:szCs w:val="22"/>
        </w:rPr>
        <w:t xml:space="preserve">To activate your membership </w:t>
      </w:r>
      <w:r>
        <w:rPr>
          <w:rFonts w:asciiTheme="minorHAnsi" w:hAnsiTheme="minorHAnsi" w:cstheme="minorHAnsi"/>
          <w:sz w:val="22"/>
          <w:szCs w:val="22"/>
        </w:rPr>
        <w:t xml:space="preserve">online </w:t>
      </w:r>
      <w:r w:rsidRPr="00AF6B7E">
        <w:rPr>
          <w:rFonts w:asciiTheme="minorHAnsi" w:hAnsiTheme="minorHAnsi" w:cstheme="minorHAnsi"/>
          <w:sz w:val="22"/>
          <w:szCs w:val="22"/>
        </w:rPr>
        <w:t>and get protection at no cost to you:</w:t>
      </w:r>
    </w:p>
    <w:p w14:paraId="10335F26" w14:textId="77777777" w:rsidR="00E736CD" w:rsidRPr="00AF6B7E" w:rsidRDefault="003836DB" w:rsidP="00E736CD">
      <w:pPr>
        <w:pStyle w:val="BodyText"/>
        <w:rPr>
          <w:rFonts w:asciiTheme="minorHAnsi" w:hAnsiTheme="minorHAnsi" w:cstheme="minorHAnsi"/>
          <w:b/>
          <w:sz w:val="22"/>
          <w:szCs w:val="22"/>
        </w:rPr>
      </w:pPr>
    </w:p>
    <w:p w14:paraId="1DD5EBE1" w14:textId="77777777" w:rsidR="00E736CD" w:rsidRPr="00AF6B7E" w:rsidRDefault="005B7455" w:rsidP="00E736CD">
      <w:pPr>
        <w:pStyle w:val="ListParagraph"/>
        <w:numPr>
          <w:ilvl w:val="0"/>
          <w:numId w:val="1"/>
        </w:numPr>
        <w:tabs>
          <w:tab w:val="left" w:pos="480"/>
        </w:tabs>
        <w:spacing w:before="1"/>
        <w:rPr>
          <w:rFonts w:asciiTheme="minorHAnsi" w:hAnsiTheme="minorHAnsi" w:cstheme="minorHAnsi"/>
        </w:rPr>
      </w:pPr>
      <w:r w:rsidRPr="00AF6B7E">
        <w:rPr>
          <w:rFonts w:asciiTheme="minorHAnsi" w:hAnsiTheme="minorHAnsi" w:cstheme="minorHAnsi"/>
        </w:rPr>
        <w:t xml:space="preserve">In your web browser, </w:t>
      </w:r>
      <w:r w:rsidRPr="00AF6B7E">
        <w:rPr>
          <w:rFonts w:asciiTheme="minorHAnsi" w:hAnsiTheme="minorHAnsi" w:cstheme="minorHAnsi"/>
          <w:u w:val="single"/>
        </w:rPr>
        <w:t>go directly</w:t>
      </w:r>
      <w:r w:rsidRPr="00AF6B7E">
        <w:rPr>
          <w:rFonts w:asciiTheme="minorHAnsi" w:hAnsiTheme="minorHAnsi" w:cstheme="minorHAnsi"/>
        </w:rPr>
        <w:t xml:space="preserve"> to </w:t>
      </w:r>
      <w:r w:rsidRPr="00AF6B7E">
        <w:rPr>
          <w:rFonts w:asciiTheme="minorHAnsi" w:hAnsiTheme="minorHAnsi" w:cstheme="minorHAnsi"/>
          <w:b/>
          <w:bCs/>
        </w:rPr>
        <w:t>www.LifeLock.com</w:t>
      </w:r>
      <w:r w:rsidRPr="00AF6B7E">
        <w:rPr>
          <w:rFonts w:asciiTheme="minorHAnsi" w:hAnsiTheme="minorHAnsi" w:cstheme="minorHAnsi"/>
        </w:rPr>
        <w:t>. Click on the yellow “</w:t>
      </w:r>
      <w:r w:rsidRPr="00AF6B7E">
        <w:rPr>
          <w:rFonts w:asciiTheme="minorHAnsi" w:hAnsiTheme="minorHAnsi" w:cstheme="minorHAnsi"/>
          <w:b/>
          <w:color w:val="000000" w:themeColor="text1"/>
        </w:rPr>
        <w:t>START MEMBERSHIP”</w:t>
      </w:r>
      <w:r w:rsidRPr="00AF6B7E">
        <w:rPr>
          <w:rFonts w:asciiTheme="minorHAnsi" w:hAnsiTheme="minorHAnsi" w:cstheme="minorHAnsi"/>
          <w:color w:val="000000" w:themeColor="text1"/>
          <w:spacing w:val="-24"/>
        </w:rPr>
        <w:t xml:space="preserve"> </w:t>
      </w:r>
      <w:r w:rsidRPr="00AF6B7E">
        <w:rPr>
          <w:rFonts w:asciiTheme="minorHAnsi" w:hAnsiTheme="minorHAnsi" w:cstheme="minorHAnsi"/>
        </w:rPr>
        <w:t>button (</w:t>
      </w:r>
      <w:r w:rsidRPr="00AF6B7E">
        <w:rPr>
          <w:rFonts w:asciiTheme="minorHAnsi" w:hAnsiTheme="minorHAnsi" w:cstheme="minorHAnsi"/>
          <w:i/>
          <w:iCs/>
        </w:rPr>
        <w:t>do not attempt registration from a link presented by a search engine).</w:t>
      </w:r>
    </w:p>
    <w:p w14:paraId="32C6DD9F" w14:textId="77777777" w:rsidR="00E736CD" w:rsidRPr="00E24B75" w:rsidRDefault="003836DB" w:rsidP="00E736CD">
      <w:pPr>
        <w:pStyle w:val="BodyText"/>
        <w:spacing w:before="10"/>
        <w:rPr>
          <w:rFonts w:asciiTheme="minorHAnsi" w:hAnsiTheme="minorHAnsi" w:cstheme="minorHAnsi"/>
          <w:sz w:val="10"/>
          <w:szCs w:val="10"/>
        </w:rPr>
      </w:pPr>
    </w:p>
    <w:p w14:paraId="1230F029" w14:textId="77777777" w:rsidR="00E736CD" w:rsidRPr="00AF6B7E" w:rsidRDefault="005B7455" w:rsidP="00E736CD">
      <w:pPr>
        <w:pStyle w:val="ListParagraph"/>
        <w:numPr>
          <w:ilvl w:val="0"/>
          <w:numId w:val="1"/>
        </w:numPr>
        <w:tabs>
          <w:tab w:val="left" w:pos="480"/>
        </w:tabs>
        <w:spacing w:before="1"/>
        <w:rPr>
          <w:rFonts w:asciiTheme="minorHAnsi" w:hAnsiTheme="minorHAnsi" w:cstheme="minorHAnsi"/>
        </w:rPr>
      </w:pPr>
      <w:r w:rsidRPr="00AF6B7E">
        <w:rPr>
          <w:rFonts w:asciiTheme="minorHAnsi" w:hAnsiTheme="minorHAnsi" w:cstheme="minorHAnsi"/>
        </w:rPr>
        <w:t xml:space="preserve">You will be taken to another page where, </w:t>
      </w:r>
      <w:r w:rsidRPr="00AF6B7E">
        <w:rPr>
          <w:rFonts w:asciiTheme="minorHAnsi" w:hAnsiTheme="minorHAnsi" w:cstheme="minorHAnsi"/>
          <w:u w:val="single"/>
        </w:rPr>
        <w:t>below the FOUR protection plan boxes</w:t>
      </w:r>
      <w:r w:rsidRPr="00AF6B7E">
        <w:rPr>
          <w:rFonts w:asciiTheme="minorHAnsi" w:hAnsiTheme="minorHAnsi" w:cstheme="minorHAnsi"/>
        </w:rPr>
        <w:t xml:space="preserve">, you </w:t>
      </w:r>
      <w:r>
        <w:rPr>
          <w:rFonts w:asciiTheme="minorHAnsi" w:hAnsiTheme="minorHAnsi" w:cstheme="minorHAnsi"/>
        </w:rPr>
        <w:t>may</w:t>
      </w:r>
      <w:r w:rsidRPr="00AF6B7E">
        <w:rPr>
          <w:rFonts w:asciiTheme="minorHAnsi" w:hAnsiTheme="minorHAnsi" w:cstheme="minorHAnsi"/>
        </w:rPr>
        <w:t xml:space="preserve"> enter the </w:t>
      </w:r>
      <w:r w:rsidRPr="00AF6B7E">
        <w:rPr>
          <w:rFonts w:asciiTheme="minorHAnsi" w:hAnsiTheme="minorHAnsi" w:cstheme="minorHAnsi"/>
          <w:b/>
          <w:bCs/>
        </w:rPr>
        <w:t>Promo Code:</w:t>
      </w:r>
      <w:r w:rsidRPr="00AF6B7E">
        <w:rPr>
          <w:rFonts w:asciiTheme="minorHAnsi" w:hAnsiTheme="minorHAnsi" w:cstheme="minorHAnsi"/>
        </w:rPr>
        <w:t xml:space="preserve"> </w:t>
      </w:r>
      <w:r w:rsidRPr="00AF6B7E">
        <w:rPr>
          <w:rFonts w:asciiTheme="minorHAnsi" w:hAnsiTheme="minorHAnsi" w:cstheme="minorHAnsi"/>
          <w:b/>
          <w:bCs/>
          <w:highlight w:val="yellow"/>
        </w:rPr>
        <w:t>&lt;&lt;PROMO CODE&gt;&gt;</w:t>
      </w:r>
      <w:r w:rsidRPr="00AF6B7E">
        <w:rPr>
          <w:rFonts w:asciiTheme="minorHAnsi" w:hAnsiTheme="minorHAnsi" w:cstheme="minorHAnsi"/>
        </w:rPr>
        <w:t xml:space="preserve"> and click the </w:t>
      </w:r>
      <w:r w:rsidRPr="00AF6B7E">
        <w:rPr>
          <w:rFonts w:asciiTheme="minorHAnsi" w:hAnsiTheme="minorHAnsi" w:cstheme="minorHAnsi"/>
          <w:b/>
          <w:bCs/>
        </w:rPr>
        <w:t>“APPLY”</w:t>
      </w:r>
      <w:r w:rsidRPr="00AF6B7E">
        <w:rPr>
          <w:rFonts w:asciiTheme="minorHAnsi" w:hAnsiTheme="minorHAnsi" w:cstheme="minorHAnsi"/>
        </w:rPr>
        <w:t xml:space="preserve"> button.</w:t>
      </w:r>
    </w:p>
    <w:p w14:paraId="7A7A0EBC" w14:textId="77777777" w:rsidR="00E736CD" w:rsidRPr="00E24B75" w:rsidRDefault="003836DB" w:rsidP="00E736CD">
      <w:pPr>
        <w:tabs>
          <w:tab w:val="left" w:pos="480"/>
        </w:tabs>
        <w:spacing w:before="2"/>
        <w:ind w:right="1980"/>
        <w:rPr>
          <w:rFonts w:asciiTheme="minorHAnsi" w:hAnsiTheme="minorHAnsi" w:cstheme="minorHAnsi"/>
          <w:b/>
          <w:sz w:val="10"/>
          <w:szCs w:val="10"/>
        </w:rPr>
      </w:pPr>
    </w:p>
    <w:p w14:paraId="37944B31" w14:textId="77777777" w:rsidR="00E736CD" w:rsidRPr="00AF6B7E" w:rsidRDefault="005B7455" w:rsidP="00E736CD">
      <w:pPr>
        <w:pStyle w:val="ListParagraph"/>
        <w:numPr>
          <w:ilvl w:val="0"/>
          <w:numId w:val="1"/>
        </w:numPr>
        <w:tabs>
          <w:tab w:val="left" w:pos="480"/>
        </w:tabs>
        <w:ind w:right="280" w:hanging="359"/>
        <w:rPr>
          <w:rFonts w:asciiTheme="minorHAnsi" w:hAnsiTheme="minorHAnsi" w:cstheme="minorHAnsi"/>
        </w:rPr>
      </w:pPr>
      <w:r w:rsidRPr="00AF6B7E">
        <w:rPr>
          <w:rFonts w:asciiTheme="minorHAnsi" w:hAnsiTheme="minorHAnsi" w:cstheme="minorHAnsi"/>
        </w:rPr>
        <w:t>On the next screen, enter your</w:t>
      </w:r>
      <w:r w:rsidRPr="00AF6B7E">
        <w:rPr>
          <w:rFonts w:asciiTheme="minorHAnsi" w:hAnsiTheme="minorHAnsi" w:cstheme="minorHAnsi"/>
          <w:spacing w:val="-3"/>
        </w:rPr>
        <w:t xml:space="preserve"> </w:t>
      </w:r>
      <w:r w:rsidRPr="00AF6B7E">
        <w:rPr>
          <w:rFonts w:asciiTheme="minorHAnsi" w:hAnsiTheme="minorHAnsi" w:cstheme="minorHAnsi"/>
          <w:b/>
          <w:bCs/>
          <w:color w:val="000000" w:themeColor="text1"/>
        </w:rPr>
        <w:t>Member</w:t>
      </w:r>
      <w:r w:rsidRPr="00AF6B7E">
        <w:rPr>
          <w:rFonts w:asciiTheme="minorHAnsi" w:hAnsiTheme="minorHAnsi" w:cstheme="minorHAnsi"/>
          <w:b/>
          <w:bCs/>
          <w:color w:val="000000" w:themeColor="text1"/>
          <w:spacing w:val="-3"/>
        </w:rPr>
        <w:t xml:space="preserve"> </w:t>
      </w:r>
      <w:r w:rsidRPr="00AF6B7E">
        <w:rPr>
          <w:rFonts w:asciiTheme="minorHAnsi" w:hAnsiTheme="minorHAnsi" w:cstheme="minorHAnsi"/>
          <w:b/>
          <w:bCs/>
          <w:color w:val="000000" w:themeColor="text1"/>
        </w:rPr>
        <w:t xml:space="preserve">ID: </w:t>
      </w:r>
      <w:r w:rsidRPr="00AF6B7E">
        <w:rPr>
          <w:rFonts w:asciiTheme="minorHAnsi" w:hAnsiTheme="minorHAnsi" w:cstheme="minorHAnsi"/>
          <w:b/>
          <w:bCs/>
          <w:highlight w:val="yellow"/>
        </w:rPr>
        <w:t>&lt;&lt;MEMBER ID&gt;&gt;</w:t>
      </w:r>
      <w:r w:rsidRPr="00AF6B7E">
        <w:rPr>
          <w:rFonts w:asciiTheme="minorHAnsi" w:hAnsiTheme="minorHAnsi" w:cstheme="minorHAnsi"/>
          <w:b/>
          <w:bCs/>
        </w:rPr>
        <w:t xml:space="preserve"> </w:t>
      </w:r>
      <w:r w:rsidRPr="00AF6B7E">
        <w:rPr>
          <w:rFonts w:asciiTheme="minorHAnsi" w:hAnsiTheme="minorHAnsi" w:cstheme="minorHAnsi"/>
        </w:rPr>
        <w:t xml:space="preserve">and click the </w:t>
      </w:r>
      <w:r w:rsidRPr="00AF6B7E">
        <w:rPr>
          <w:rFonts w:asciiTheme="minorHAnsi" w:hAnsiTheme="minorHAnsi" w:cstheme="minorHAnsi"/>
          <w:b/>
          <w:bCs/>
        </w:rPr>
        <w:t>“APPLY”</w:t>
      </w:r>
      <w:r w:rsidRPr="00AF6B7E">
        <w:rPr>
          <w:rFonts w:asciiTheme="minorHAnsi" w:hAnsiTheme="minorHAnsi" w:cstheme="minorHAnsi"/>
        </w:rPr>
        <w:t xml:space="preserve"> button.</w:t>
      </w:r>
    </w:p>
    <w:p w14:paraId="4F156B3F" w14:textId="77777777" w:rsidR="00E736CD" w:rsidRPr="00E24B75" w:rsidRDefault="003836DB" w:rsidP="00E736CD">
      <w:pPr>
        <w:pStyle w:val="BodyText"/>
        <w:spacing w:before="9"/>
        <w:rPr>
          <w:rFonts w:asciiTheme="minorHAnsi" w:hAnsiTheme="minorHAnsi" w:cstheme="minorHAnsi"/>
          <w:sz w:val="10"/>
          <w:szCs w:val="10"/>
        </w:rPr>
      </w:pPr>
    </w:p>
    <w:p w14:paraId="03C01E91" w14:textId="77777777" w:rsidR="00E736CD" w:rsidRPr="00AF6B7E" w:rsidRDefault="005B7455" w:rsidP="00E736CD">
      <w:pPr>
        <w:pStyle w:val="ListParagraph"/>
        <w:numPr>
          <w:ilvl w:val="0"/>
          <w:numId w:val="1"/>
        </w:numPr>
        <w:tabs>
          <w:tab w:val="left" w:pos="480"/>
        </w:tabs>
        <w:ind w:hanging="359"/>
        <w:rPr>
          <w:rFonts w:asciiTheme="minorHAnsi" w:hAnsiTheme="minorHAnsi" w:cstheme="minorHAnsi"/>
        </w:rPr>
      </w:pPr>
      <w:r w:rsidRPr="00AF6B7E">
        <w:rPr>
          <w:rFonts w:asciiTheme="minorHAnsi" w:hAnsiTheme="minorHAnsi" w:cstheme="minorHAnsi"/>
        </w:rPr>
        <w:t xml:space="preserve">Your complimentary offer is presented. Click the red </w:t>
      </w:r>
      <w:r w:rsidRPr="00AF6B7E">
        <w:rPr>
          <w:rFonts w:asciiTheme="minorHAnsi" w:hAnsiTheme="minorHAnsi" w:cstheme="minorHAnsi"/>
          <w:b/>
          <w:bCs/>
          <w:color w:val="000000" w:themeColor="text1"/>
        </w:rPr>
        <w:t>“START YOUR MEMBERSHIP</w:t>
      </w:r>
      <w:r w:rsidRPr="00AF6B7E">
        <w:rPr>
          <w:rFonts w:asciiTheme="minorHAnsi" w:hAnsiTheme="minorHAnsi" w:cstheme="minorHAnsi"/>
          <w:b/>
          <w:color w:val="000000" w:themeColor="text1"/>
        </w:rPr>
        <w:t>”</w:t>
      </w:r>
      <w:r w:rsidRPr="00AF6B7E">
        <w:rPr>
          <w:rFonts w:asciiTheme="minorHAnsi" w:hAnsiTheme="minorHAnsi" w:cstheme="minorHAnsi"/>
          <w:color w:val="FF0000"/>
          <w:spacing w:val="-23"/>
        </w:rPr>
        <w:t xml:space="preserve"> </w:t>
      </w:r>
      <w:r w:rsidRPr="00AF6B7E">
        <w:rPr>
          <w:rFonts w:asciiTheme="minorHAnsi" w:hAnsiTheme="minorHAnsi" w:cstheme="minorHAnsi"/>
        </w:rPr>
        <w:t>button.</w:t>
      </w:r>
    </w:p>
    <w:p w14:paraId="7C614982" w14:textId="77777777" w:rsidR="00E736CD" w:rsidRPr="00E24B75" w:rsidRDefault="003836DB" w:rsidP="00E736CD">
      <w:pPr>
        <w:pStyle w:val="BodyText"/>
        <w:rPr>
          <w:rFonts w:asciiTheme="minorHAnsi" w:hAnsiTheme="minorHAnsi" w:cstheme="minorHAnsi"/>
          <w:sz w:val="10"/>
          <w:szCs w:val="10"/>
        </w:rPr>
      </w:pPr>
    </w:p>
    <w:p w14:paraId="3B4E0034" w14:textId="77777777" w:rsidR="00E736CD" w:rsidRPr="00AF6B7E" w:rsidRDefault="005B7455" w:rsidP="00E736CD">
      <w:pPr>
        <w:pStyle w:val="ListParagraph"/>
        <w:numPr>
          <w:ilvl w:val="0"/>
          <w:numId w:val="1"/>
        </w:numPr>
        <w:tabs>
          <w:tab w:val="left" w:pos="480"/>
        </w:tabs>
        <w:ind w:hanging="359"/>
        <w:rPr>
          <w:rFonts w:asciiTheme="minorHAnsi" w:hAnsiTheme="minorHAnsi" w:cstheme="minorHAnsi"/>
        </w:rPr>
      </w:pPr>
      <w:r w:rsidRPr="00AF6B7E">
        <w:rPr>
          <w:rFonts w:asciiTheme="minorHAnsi" w:hAnsiTheme="minorHAnsi" w:cstheme="minorHAnsi"/>
        </w:rPr>
        <w:t>Once enrollment is completed, you</w:t>
      </w:r>
      <w:r w:rsidRPr="00AF6B7E">
        <w:rPr>
          <w:rFonts w:asciiTheme="minorHAnsi" w:hAnsiTheme="minorHAnsi" w:cstheme="minorHAnsi"/>
          <w:spacing w:val="-3"/>
        </w:rPr>
        <w:t xml:space="preserve"> </w:t>
      </w:r>
      <w:r w:rsidRPr="00AF6B7E">
        <w:rPr>
          <w:rFonts w:asciiTheme="minorHAnsi" w:hAnsiTheme="minorHAnsi" w:cstheme="minorHAnsi"/>
        </w:rPr>
        <w:t>will</w:t>
      </w:r>
      <w:r w:rsidRPr="00AF6B7E">
        <w:rPr>
          <w:rFonts w:asciiTheme="minorHAnsi" w:hAnsiTheme="minorHAnsi" w:cstheme="minorHAnsi"/>
          <w:spacing w:val="-6"/>
        </w:rPr>
        <w:t xml:space="preserve"> </w:t>
      </w:r>
      <w:r w:rsidRPr="00AF6B7E">
        <w:rPr>
          <w:rFonts w:asciiTheme="minorHAnsi" w:hAnsiTheme="minorHAnsi" w:cstheme="minorHAnsi"/>
        </w:rPr>
        <w:t>receive</w:t>
      </w:r>
      <w:r w:rsidRPr="00AF6B7E">
        <w:rPr>
          <w:rFonts w:asciiTheme="minorHAnsi" w:hAnsiTheme="minorHAnsi" w:cstheme="minorHAnsi"/>
          <w:spacing w:val="-5"/>
        </w:rPr>
        <w:t xml:space="preserve"> </w:t>
      </w:r>
      <w:r w:rsidRPr="00AF6B7E">
        <w:rPr>
          <w:rFonts w:asciiTheme="minorHAnsi" w:hAnsiTheme="minorHAnsi" w:cstheme="minorHAnsi"/>
        </w:rPr>
        <w:t>a</w:t>
      </w:r>
      <w:r w:rsidRPr="00AF6B7E">
        <w:rPr>
          <w:rFonts w:asciiTheme="minorHAnsi" w:hAnsiTheme="minorHAnsi" w:cstheme="minorHAnsi"/>
          <w:spacing w:val="-3"/>
        </w:rPr>
        <w:t xml:space="preserve"> </w:t>
      </w:r>
      <w:r w:rsidRPr="00AF6B7E">
        <w:rPr>
          <w:rFonts w:asciiTheme="minorHAnsi" w:hAnsiTheme="minorHAnsi" w:cstheme="minorHAnsi"/>
        </w:rPr>
        <w:t>confirmation</w:t>
      </w:r>
      <w:r w:rsidRPr="00AF6B7E">
        <w:rPr>
          <w:rFonts w:asciiTheme="minorHAnsi" w:hAnsiTheme="minorHAnsi" w:cstheme="minorHAnsi"/>
          <w:spacing w:val="-3"/>
        </w:rPr>
        <w:t xml:space="preserve"> </w:t>
      </w:r>
      <w:r w:rsidRPr="00AF6B7E">
        <w:rPr>
          <w:rFonts w:asciiTheme="minorHAnsi" w:hAnsiTheme="minorHAnsi" w:cstheme="minorHAnsi"/>
        </w:rPr>
        <w:t>email (</w:t>
      </w:r>
      <w:r w:rsidRPr="00AF6B7E">
        <w:rPr>
          <w:rFonts w:asciiTheme="minorHAnsi" w:hAnsiTheme="minorHAnsi" w:cstheme="minorHAnsi"/>
          <w:i/>
          <w:iCs/>
        </w:rPr>
        <w:t>be</w:t>
      </w:r>
      <w:r w:rsidRPr="00AF6B7E">
        <w:rPr>
          <w:rFonts w:asciiTheme="minorHAnsi" w:hAnsiTheme="minorHAnsi" w:cstheme="minorHAnsi"/>
          <w:i/>
          <w:iCs/>
          <w:spacing w:val="-5"/>
        </w:rPr>
        <w:t xml:space="preserve"> </w:t>
      </w:r>
      <w:r w:rsidRPr="00AF6B7E">
        <w:rPr>
          <w:rFonts w:asciiTheme="minorHAnsi" w:hAnsiTheme="minorHAnsi" w:cstheme="minorHAnsi"/>
          <w:i/>
          <w:iCs/>
        </w:rPr>
        <w:t>sure</w:t>
      </w:r>
      <w:r w:rsidRPr="00AF6B7E">
        <w:rPr>
          <w:rFonts w:asciiTheme="minorHAnsi" w:hAnsiTheme="minorHAnsi" w:cstheme="minorHAnsi"/>
          <w:i/>
          <w:iCs/>
          <w:spacing w:val="-3"/>
        </w:rPr>
        <w:t xml:space="preserve"> </w:t>
      </w:r>
      <w:r w:rsidRPr="00AF6B7E">
        <w:rPr>
          <w:rFonts w:asciiTheme="minorHAnsi" w:hAnsiTheme="minorHAnsi" w:cstheme="minorHAnsi"/>
          <w:i/>
          <w:iCs/>
        </w:rPr>
        <w:t>to</w:t>
      </w:r>
      <w:r w:rsidRPr="00AF6B7E">
        <w:rPr>
          <w:rFonts w:asciiTheme="minorHAnsi" w:hAnsiTheme="minorHAnsi" w:cstheme="minorHAnsi"/>
          <w:i/>
          <w:iCs/>
          <w:spacing w:val="-5"/>
        </w:rPr>
        <w:t xml:space="preserve"> </w:t>
      </w:r>
      <w:r w:rsidRPr="00AF6B7E">
        <w:rPr>
          <w:rFonts w:asciiTheme="minorHAnsi" w:hAnsiTheme="minorHAnsi" w:cstheme="minorHAnsi"/>
          <w:i/>
          <w:iCs/>
          <w:u w:val="single"/>
        </w:rPr>
        <w:t>follow</w:t>
      </w:r>
      <w:r w:rsidRPr="00AF6B7E">
        <w:rPr>
          <w:rFonts w:asciiTheme="minorHAnsi" w:hAnsiTheme="minorHAnsi" w:cstheme="minorHAnsi"/>
          <w:i/>
          <w:iCs/>
          <w:spacing w:val="-5"/>
          <w:u w:val="single"/>
        </w:rPr>
        <w:t xml:space="preserve"> </w:t>
      </w:r>
      <w:r w:rsidRPr="00AF6B7E">
        <w:rPr>
          <w:rFonts w:asciiTheme="minorHAnsi" w:hAnsiTheme="minorHAnsi" w:cstheme="minorHAnsi"/>
          <w:i/>
          <w:iCs/>
          <w:color w:val="000000" w:themeColor="text1"/>
          <w:u w:val="single"/>
        </w:rPr>
        <w:t>ALL</w:t>
      </w:r>
      <w:r w:rsidRPr="00AF6B7E">
        <w:rPr>
          <w:rFonts w:asciiTheme="minorHAnsi" w:hAnsiTheme="minorHAnsi" w:cstheme="minorHAnsi"/>
          <w:i/>
          <w:iCs/>
          <w:color w:val="000000" w:themeColor="text1"/>
          <w:spacing w:val="-4"/>
          <w:u w:val="single"/>
        </w:rPr>
        <w:t xml:space="preserve"> </w:t>
      </w:r>
      <w:r w:rsidRPr="00AF6B7E">
        <w:rPr>
          <w:rFonts w:asciiTheme="minorHAnsi" w:hAnsiTheme="minorHAnsi" w:cstheme="minorHAnsi"/>
          <w:i/>
          <w:iCs/>
          <w:u w:val="single"/>
        </w:rPr>
        <w:t>directions</w:t>
      </w:r>
      <w:r w:rsidRPr="00AF6B7E">
        <w:rPr>
          <w:rFonts w:asciiTheme="minorHAnsi" w:hAnsiTheme="minorHAnsi" w:cstheme="minorHAnsi"/>
          <w:i/>
          <w:iCs/>
          <w:spacing w:val="-4"/>
        </w:rPr>
        <w:t xml:space="preserve"> </w:t>
      </w:r>
      <w:r w:rsidRPr="00AF6B7E">
        <w:rPr>
          <w:rFonts w:asciiTheme="minorHAnsi" w:hAnsiTheme="minorHAnsi" w:cstheme="minorHAnsi"/>
          <w:i/>
          <w:iCs/>
        </w:rPr>
        <w:t>in</w:t>
      </w:r>
      <w:r w:rsidRPr="00AF6B7E">
        <w:rPr>
          <w:rFonts w:asciiTheme="minorHAnsi" w:hAnsiTheme="minorHAnsi" w:cstheme="minorHAnsi"/>
          <w:i/>
          <w:iCs/>
          <w:spacing w:val="-3"/>
        </w:rPr>
        <w:t xml:space="preserve"> </w:t>
      </w:r>
      <w:r w:rsidRPr="00AF6B7E">
        <w:rPr>
          <w:rFonts w:asciiTheme="minorHAnsi" w:hAnsiTheme="minorHAnsi" w:cstheme="minorHAnsi"/>
          <w:i/>
          <w:iCs/>
        </w:rPr>
        <w:t>this email</w:t>
      </w:r>
      <w:r w:rsidRPr="00AF6B7E">
        <w:rPr>
          <w:rFonts w:asciiTheme="minorHAnsi" w:hAnsiTheme="minorHAnsi" w:cstheme="minorHAnsi"/>
        </w:rPr>
        <w:t>).</w:t>
      </w:r>
    </w:p>
    <w:p w14:paraId="3A6AAE05" w14:textId="77777777" w:rsidR="00E736CD" w:rsidRPr="00E24B75" w:rsidRDefault="003836DB" w:rsidP="00E736CD">
      <w:pPr>
        <w:pStyle w:val="BodyText"/>
        <w:spacing w:before="9"/>
        <w:rPr>
          <w:rFonts w:asciiTheme="minorHAnsi" w:hAnsiTheme="minorHAnsi" w:cstheme="minorHAnsi"/>
          <w:sz w:val="10"/>
          <w:szCs w:val="10"/>
        </w:rPr>
      </w:pPr>
    </w:p>
    <w:p w14:paraId="29A2DB92" w14:textId="77777777" w:rsidR="00E736CD" w:rsidRPr="005E1C06" w:rsidRDefault="005B7455" w:rsidP="00E736CD">
      <w:pPr>
        <w:pStyle w:val="Heading1"/>
        <w:ind w:left="0"/>
        <w:rPr>
          <w:rStyle w:val="BodyTextChar"/>
          <w:rFonts w:asciiTheme="minorHAnsi" w:hAnsiTheme="minorHAnsi" w:cstheme="minorHAnsi"/>
          <w:sz w:val="22"/>
          <w:szCs w:val="22"/>
        </w:rPr>
      </w:pPr>
      <w:r>
        <w:rPr>
          <w:rStyle w:val="BodyTextChar"/>
          <w:rFonts w:asciiTheme="minorHAnsi" w:hAnsiTheme="minorHAnsi" w:cstheme="minorHAnsi"/>
          <w:sz w:val="22"/>
          <w:szCs w:val="22"/>
        </w:rPr>
        <w:t>Alternatively, to</w:t>
      </w:r>
      <w:r w:rsidRPr="005E1C06">
        <w:rPr>
          <w:rStyle w:val="BodyTextChar"/>
          <w:rFonts w:asciiTheme="minorHAnsi" w:hAnsiTheme="minorHAnsi" w:cstheme="minorHAnsi"/>
          <w:sz w:val="22"/>
          <w:szCs w:val="22"/>
        </w:rPr>
        <w:t xml:space="preserve"> activate your membership over the phone, please call: </w:t>
      </w:r>
      <w:r w:rsidRPr="005E1C06">
        <w:rPr>
          <w:rStyle w:val="BodyTextChar"/>
          <w:rFonts w:asciiTheme="minorHAnsi" w:hAnsiTheme="minorHAnsi" w:cstheme="minorHAnsi"/>
          <w:sz w:val="22"/>
          <w:szCs w:val="22"/>
          <w:highlight w:val="yellow"/>
        </w:rPr>
        <w:t>&lt;&lt;ENROLLMENT PHONE #&gt;&gt;</w:t>
      </w:r>
    </w:p>
    <w:p w14:paraId="67CE3D23" w14:textId="77777777" w:rsidR="00E736CD" w:rsidRPr="00E24B75" w:rsidRDefault="003836DB" w:rsidP="00E736CD">
      <w:pPr>
        <w:pStyle w:val="Heading1"/>
        <w:ind w:left="0"/>
        <w:rPr>
          <w:rStyle w:val="BodyTextChar"/>
          <w:rFonts w:asciiTheme="minorHAnsi" w:hAnsiTheme="minorHAnsi" w:cstheme="minorHAnsi"/>
          <w:b w:val="0"/>
          <w:bCs w:val="0"/>
          <w:sz w:val="10"/>
          <w:szCs w:val="10"/>
        </w:rPr>
      </w:pPr>
    </w:p>
    <w:p w14:paraId="6E0C6465" w14:textId="77777777" w:rsidR="00E736CD" w:rsidRDefault="005B7455" w:rsidP="00E736CD">
      <w:pPr>
        <w:pStyle w:val="Heading1"/>
        <w:ind w:left="0"/>
        <w:jc w:val="center"/>
        <w:rPr>
          <w:rStyle w:val="BodyTextChar"/>
          <w:rFonts w:asciiTheme="minorHAnsi" w:hAnsiTheme="minorHAnsi" w:cstheme="minorHAnsi"/>
          <w:sz w:val="22"/>
          <w:szCs w:val="22"/>
          <w:u w:val="single"/>
        </w:rPr>
      </w:pPr>
      <w:r w:rsidRPr="00591FA7">
        <w:rPr>
          <w:rStyle w:val="BodyTextChar"/>
          <w:rFonts w:asciiTheme="minorHAnsi" w:hAnsiTheme="minorHAnsi" w:cstheme="minorHAnsi"/>
          <w:sz w:val="22"/>
          <w:szCs w:val="22"/>
          <w:u w:val="single"/>
        </w:rPr>
        <w:t xml:space="preserve">You will have until </w:t>
      </w:r>
      <w:r w:rsidRPr="00591FA7">
        <w:rPr>
          <w:rStyle w:val="BodyTextChar"/>
          <w:rFonts w:asciiTheme="minorHAnsi" w:hAnsiTheme="minorHAnsi" w:cstheme="minorHAnsi"/>
          <w:sz w:val="22"/>
          <w:szCs w:val="22"/>
          <w:highlight w:val="yellow"/>
          <w:u w:val="single"/>
        </w:rPr>
        <w:t>&lt;&lt;ENROLLMENT DEADLINE&gt;&gt;</w:t>
      </w:r>
      <w:r w:rsidRPr="00591FA7">
        <w:rPr>
          <w:rStyle w:val="BodyTextChar"/>
          <w:rFonts w:asciiTheme="minorHAnsi" w:hAnsiTheme="minorHAnsi" w:cstheme="minorHAnsi"/>
          <w:sz w:val="22"/>
          <w:szCs w:val="22"/>
          <w:u w:val="single"/>
        </w:rPr>
        <w:t xml:space="preserve"> to enroll in this service.</w:t>
      </w:r>
    </w:p>
    <w:p w14:paraId="6C745A1E" w14:textId="77777777" w:rsidR="00E736CD" w:rsidRPr="00E24B75" w:rsidRDefault="003836DB" w:rsidP="00E736CD">
      <w:pPr>
        <w:pStyle w:val="Heading1"/>
        <w:ind w:left="0"/>
        <w:jc w:val="center"/>
        <w:rPr>
          <w:rStyle w:val="BodyTextChar"/>
          <w:rFonts w:asciiTheme="minorHAnsi" w:hAnsiTheme="minorHAnsi" w:cstheme="minorHAnsi"/>
          <w:sz w:val="10"/>
          <w:szCs w:val="10"/>
          <w:u w:val="single"/>
        </w:rPr>
      </w:pPr>
    </w:p>
    <w:p w14:paraId="46B23299" w14:textId="77777777" w:rsidR="00E736CD" w:rsidRPr="00B216E0" w:rsidRDefault="005B7455" w:rsidP="00E736CD">
      <w:pPr>
        <w:pStyle w:val="BodyText"/>
        <w:spacing w:before="93"/>
        <w:ind w:right="453"/>
        <w:rPr>
          <w:rFonts w:asciiTheme="minorHAnsi" w:hAnsiTheme="minorHAnsi" w:cstheme="minorHAnsi"/>
          <w:sz w:val="22"/>
          <w:szCs w:val="22"/>
        </w:rPr>
      </w:pPr>
      <w:r w:rsidRPr="00B216E0">
        <w:rPr>
          <w:rFonts w:asciiTheme="minorHAnsi" w:hAnsiTheme="minorHAnsi" w:cstheme="minorHAnsi"/>
          <w:sz w:val="22"/>
          <w:szCs w:val="22"/>
        </w:rPr>
        <w:t xml:space="preserve">Once you have completed the LifeLock enrollment process, the service will be in effect. Your </w:t>
      </w:r>
      <w:r w:rsidRPr="00B216E0">
        <w:rPr>
          <w:rFonts w:asciiTheme="minorHAnsi" w:hAnsiTheme="minorHAnsi" w:cstheme="minorHAnsi"/>
          <w:b/>
          <w:bCs/>
          <w:sz w:val="22"/>
          <w:szCs w:val="22"/>
        </w:rPr>
        <w:t>LifeLock Defender™ Preferred</w:t>
      </w:r>
      <w:r w:rsidRPr="00B216E0">
        <w:rPr>
          <w:rFonts w:asciiTheme="minorHAnsi" w:hAnsiTheme="minorHAnsi" w:cstheme="minorHAnsi"/>
          <w:sz w:val="22"/>
          <w:szCs w:val="22"/>
        </w:rPr>
        <w:t xml:space="preserve"> membership includes:</w:t>
      </w:r>
    </w:p>
    <w:p w14:paraId="3D4C019B" w14:textId="77777777" w:rsidR="00E736CD" w:rsidRPr="00E24B75" w:rsidRDefault="003836DB" w:rsidP="00E736CD">
      <w:pPr>
        <w:pStyle w:val="BodyText"/>
        <w:rPr>
          <w:sz w:val="10"/>
          <w:szCs w:val="10"/>
        </w:rPr>
      </w:pPr>
    </w:p>
    <w:p w14:paraId="27E671F9" w14:textId="77777777" w:rsidR="00E736CD" w:rsidRPr="00B216E0" w:rsidRDefault="005B7455" w:rsidP="00E736CD">
      <w:pPr>
        <w:pStyle w:val="ListParagraph"/>
        <w:numPr>
          <w:ilvl w:val="1"/>
          <w:numId w:val="1"/>
        </w:numPr>
        <w:tabs>
          <w:tab w:val="left" w:pos="840"/>
          <w:tab w:val="left" w:pos="841"/>
        </w:tabs>
        <w:rPr>
          <w:rFonts w:asciiTheme="minorHAnsi" w:hAnsiTheme="minorHAnsi" w:cstheme="minorHAnsi"/>
          <w:sz w:val="20"/>
          <w:szCs w:val="20"/>
        </w:rPr>
      </w:pPr>
      <w:r w:rsidRPr="00B216E0">
        <w:rPr>
          <w:rFonts w:asciiTheme="minorHAnsi" w:hAnsiTheme="minorHAnsi" w:cstheme="minorHAnsi"/>
          <w:sz w:val="20"/>
          <w:szCs w:val="20"/>
        </w:rPr>
        <w:t>Primary Identity Alert</w:t>
      </w:r>
      <w:r w:rsidRPr="00B216E0">
        <w:rPr>
          <w:rFonts w:asciiTheme="minorHAnsi" w:hAnsiTheme="minorHAnsi" w:cstheme="minorHAnsi"/>
          <w:spacing w:val="-14"/>
          <w:sz w:val="20"/>
          <w:szCs w:val="20"/>
        </w:rPr>
        <w:t xml:space="preserve"> </w:t>
      </w:r>
      <w:r w:rsidRPr="00B216E0">
        <w:rPr>
          <w:rFonts w:asciiTheme="minorHAnsi" w:hAnsiTheme="minorHAnsi" w:cstheme="minorHAnsi"/>
          <w:sz w:val="20"/>
          <w:szCs w:val="20"/>
        </w:rPr>
        <w:t>System</w:t>
      </w:r>
      <w:r w:rsidRPr="00B216E0">
        <w:rPr>
          <w:rFonts w:asciiTheme="minorHAnsi" w:hAnsiTheme="minorHAnsi" w:cstheme="minorHAnsi"/>
          <w:sz w:val="20"/>
          <w:szCs w:val="20"/>
          <w:vertAlign w:val="superscript"/>
        </w:rPr>
        <w:t>†</w:t>
      </w:r>
    </w:p>
    <w:p w14:paraId="4EAF2F0E" w14:textId="77777777" w:rsidR="00E736CD" w:rsidRPr="00B216E0" w:rsidRDefault="005B7455" w:rsidP="00E736CD">
      <w:pPr>
        <w:pStyle w:val="ListParagraph"/>
        <w:numPr>
          <w:ilvl w:val="1"/>
          <w:numId w:val="1"/>
        </w:numPr>
        <w:tabs>
          <w:tab w:val="left" w:pos="839"/>
          <w:tab w:val="left" w:pos="841"/>
        </w:tabs>
        <w:spacing w:line="229" w:lineRule="exact"/>
        <w:rPr>
          <w:rFonts w:asciiTheme="minorHAnsi" w:hAnsiTheme="minorHAnsi" w:cstheme="minorHAnsi"/>
          <w:sz w:val="20"/>
          <w:szCs w:val="20"/>
        </w:rPr>
      </w:pPr>
      <w:r w:rsidRPr="00B216E0">
        <w:rPr>
          <w:rFonts w:asciiTheme="minorHAnsi" w:hAnsiTheme="minorHAnsi" w:cstheme="minorHAnsi"/>
          <w:sz w:val="20"/>
          <w:szCs w:val="20"/>
        </w:rPr>
        <w:t>24/7 Live Member Support</w:t>
      </w:r>
      <w:r w:rsidRPr="00B216E0">
        <w:rPr>
          <w:rFonts w:asciiTheme="minorHAnsi" w:hAnsiTheme="minorHAnsi" w:cstheme="minorHAnsi"/>
          <w:spacing w:val="-13"/>
          <w:sz w:val="20"/>
          <w:szCs w:val="20"/>
        </w:rPr>
        <w:t xml:space="preserve"> </w:t>
      </w:r>
    </w:p>
    <w:p w14:paraId="31ACFE82" w14:textId="77777777" w:rsidR="00E736CD" w:rsidRPr="00B216E0" w:rsidRDefault="005B7455" w:rsidP="00E736CD">
      <w:pPr>
        <w:pStyle w:val="ListParagraph"/>
        <w:numPr>
          <w:ilvl w:val="1"/>
          <w:numId w:val="1"/>
        </w:numPr>
        <w:tabs>
          <w:tab w:val="left" w:pos="839"/>
          <w:tab w:val="left" w:pos="840"/>
        </w:tabs>
        <w:ind w:left="839" w:hanging="359"/>
        <w:rPr>
          <w:rFonts w:asciiTheme="minorHAnsi" w:hAnsiTheme="minorHAnsi" w:cstheme="minorHAnsi"/>
          <w:sz w:val="20"/>
          <w:szCs w:val="20"/>
        </w:rPr>
      </w:pPr>
      <w:r w:rsidRPr="00B216E0">
        <w:rPr>
          <w:rFonts w:asciiTheme="minorHAnsi" w:hAnsiTheme="minorHAnsi" w:cstheme="minorHAnsi"/>
          <w:sz w:val="20"/>
          <w:szCs w:val="20"/>
        </w:rPr>
        <w:t>Dark Web Monitoring</w:t>
      </w:r>
      <w:r w:rsidRPr="00B216E0">
        <w:rPr>
          <w:rFonts w:asciiTheme="minorHAnsi" w:hAnsiTheme="minorHAnsi" w:cstheme="minorHAnsi"/>
          <w:sz w:val="20"/>
          <w:szCs w:val="20"/>
          <w:vertAlign w:val="superscript"/>
        </w:rPr>
        <w:t>**</w:t>
      </w:r>
    </w:p>
    <w:p w14:paraId="54AC9392" w14:textId="77777777" w:rsidR="00E736CD" w:rsidRPr="00B216E0" w:rsidRDefault="005B7455" w:rsidP="00E736CD">
      <w:pPr>
        <w:pStyle w:val="ListParagraph"/>
        <w:numPr>
          <w:ilvl w:val="1"/>
          <w:numId w:val="1"/>
        </w:numPr>
        <w:tabs>
          <w:tab w:val="left" w:pos="839"/>
          <w:tab w:val="left" w:pos="840"/>
        </w:tabs>
        <w:ind w:left="839" w:hanging="359"/>
        <w:rPr>
          <w:rFonts w:asciiTheme="minorHAnsi" w:hAnsiTheme="minorHAnsi" w:cstheme="minorHAnsi"/>
          <w:sz w:val="20"/>
          <w:szCs w:val="20"/>
        </w:rPr>
      </w:pPr>
      <w:proofErr w:type="spellStart"/>
      <w:r w:rsidRPr="00B216E0">
        <w:rPr>
          <w:rFonts w:asciiTheme="minorHAnsi" w:hAnsiTheme="minorHAnsi" w:cstheme="minorHAnsi"/>
          <w:sz w:val="20"/>
          <w:szCs w:val="20"/>
        </w:rPr>
        <w:t>Norton</w:t>
      </w:r>
      <w:r w:rsidRPr="00B216E0">
        <w:rPr>
          <w:rFonts w:asciiTheme="minorHAnsi" w:hAnsiTheme="minorHAnsi" w:cstheme="minorHAnsi"/>
          <w:sz w:val="20"/>
          <w:szCs w:val="20"/>
          <w:vertAlign w:val="superscript"/>
        </w:rPr>
        <w:t>TM</w:t>
      </w:r>
      <w:proofErr w:type="spellEnd"/>
      <w:r w:rsidRPr="00B216E0">
        <w:rPr>
          <w:rFonts w:asciiTheme="minorHAnsi" w:hAnsiTheme="minorHAnsi" w:cstheme="minorHAnsi"/>
          <w:sz w:val="20"/>
          <w:szCs w:val="20"/>
        </w:rPr>
        <w:t xml:space="preserve"> Security Deluxe</w:t>
      </w:r>
      <w:r w:rsidRPr="00B216E0">
        <w:rPr>
          <w:rFonts w:asciiTheme="minorHAnsi" w:hAnsiTheme="minorHAnsi" w:cstheme="minorHAnsi"/>
          <w:sz w:val="20"/>
          <w:szCs w:val="20"/>
          <w:vertAlign w:val="superscript"/>
        </w:rPr>
        <w:t>2</w:t>
      </w:r>
      <w:r w:rsidRPr="00B216E0">
        <w:rPr>
          <w:rFonts w:asciiTheme="minorHAnsi" w:hAnsiTheme="minorHAnsi" w:cstheme="minorHAnsi"/>
          <w:sz w:val="20"/>
          <w:szCs w:val="20"/>
        </w:rPr>
        <w:t xml:space="preserve"> (90 Day Free Subscription)</w:t>
      </w:r>
    </w:p>
    <w:p w14:paraId="7BA639C7" w14:textId="77777777" w:rsidR="00E736CD" w:rsidRPr="00B216E0" w:rsidRDefault="005B7455" w:rsidP="00E736CD">
      <w:pPr>
        <w:pStyle w:val="ListParagraph"/>
        <w:numPr>
          <w:ilvl w:val="1"/>
          <w:numId w:val="1"/>
        </w:numPr>
        <w:tabs>
          <w:tab w:val="left" w:pos="839"/>
          <w:tab w:val="left" w:pos="840"/>
        </w:tabs>
        <w:spacing w:line="229" w:lineRule="exact"/>
        <w:ind w:left="839"/>
        <w:rPr>
          <w:rFonts w:asciiTheme="minorHAnsi" w:hAnsiTheme="minorHAnsi" w:cstheme="minorHAnsi"/>
          <w:sz w:val="20"/>
          <w:szCs w:val="20"/>
        </w:rPr>
      </w:pPr>
      <w:r w:rsidRPr="00B216E0">
        <w:rPr>
          <w:rFonts w:asciiTheme="minorHAnsi" w:hAnsiTheme="minorHAnsi" w:cstheme="minorHAnsi"/>
          <w:sz w:val="20"/>
          <w:szCs w:val="20"/>
        </w:rPr>
        <w:t>Stolen Funds Reimbursement up to $25,000</w:t>
      </w:r>
      <w:r w:rsidRPr="00B216E0">
        <w:rPr>
          <w:rFonts w:asciiTheme="minorHAnsi" w:hAnsiTheme="minorHAnsi" w:cstheme="minorHAnsi"/>
          <w:sz w:val="20"/>
          <w:szCs w:val="20"/>
          <w:vertAlign w:val="superscript"/>
        </w:rPr>
        <w:t>†††</w:t>
      </w:r>
    </w:p>
    <w:p w14:paraId="33037D28" w14:textId="77777777" w:rsidR="00E736CD" w:rsidRPr="00B216E0" w:rsidRDefault="005B7455" w:rsidP="00E736CD">
      <w:pPr>
        <w:pStyle w:val="ListParagraph"/>
        <w:numPr>
          <w:ilvl w:val="1"/>
          <w:numId w:val="1"/>
        </w:numPr>
        <w:tabs>
          <w:tab w:val="left" w:pos="839"/>
          <w:tab w:val="left" w:pos="840"/>
        </w:tabs>
        <w:ind w:left="839" w:hanging="359"/>
        <w:rPr>
          <w:rFonts w:asciiTheme="minorHAnsi" w:hAnsiTheme="minorHAnsi" w:cstheme="minorHAnsi"/>
          <w:sz w:val="20"/>
          <w:szCs w:val="20"/>
        </w:rPr>
      </w:pPr>
      <w:r w:rsidRPr="00B216E0">
        <w:rPr>
          <w:rFonts w:asciiTheme="minorHAnsi" w:hAnsiTheme="minorHAnsi" w:cstheme="minorHAnsi"/>
          <w:sz w:val="20"/>
          <w:szCs w:val="20"/>
        </w:rPr>
        <w:t>Personal Expense Compensation up to $25,000</w:t>
      </w:r>
      <w:r w:rsidRPr="00B216E0">
        <w:rPr>
          <w:rFonts w:asciiTheme="minorHAnsi" w:hAnsiTheme="minorHAnsi" w:cstheme="minorHAnsi"/>
          <w:sz w:val="20"/>
          <w:szCs w:val="20"/>
          <w:vertAlign w:val="superscript"/>
        </w:rPr>
        <w:t>†††</w:t>
      </w:r>
    </w:p>
    <w:p w14:paraId="27E536BB" w14:textId="77777777" w:rsidR="00E736CD" w:rsidRPr="00B216E0" w:rsidRDefault="005B7455" w:rsidP="00E736CD">
      <w:pPr>
        <w:pStyle w:val="ListParagraph"/>
        <w:numPr>
          <w:ilvl w:val="1"/>
          <w:numId w:val="1"/>
        </w:numPr>
        <w:tabs>
          <w:tab w:val="left" w:pos="839"/>
          <w:tab w:val="left" w:pos="841"/>
        </w:tabs>
        <w:rPr>
          <w:rFonts w:asciiTheme="minorHAnsi" w:hAnsiTheme="minorHAnsi" w:cstheme="minorHAnsi"/>
          <w:sz w:val="20"/>
          <w:szCs w:val="20"/>
        </w:rPr>
      </w:pPr>
      <w:r w:rsidRPr="00B216E0">
        <w:rPr>
          <w:rFonts w:asciiTheme="minorHAnsi" w:hAnsiTheme="minorHAnsi" w:cstheme="minorHAnsi"/>
          <w:sz w:val="20"/>
          <w:szCs w:val="20"/>
        </w:rPr>
        <w:t>Coverage for Lawyers and Experts up to $1 million</w:t>
      </w:r>
      <w:r w:rsidRPr="00B216E0">
        <w:rPr>
          <w:rFonts w:asciiTheme="minorHAnsi" w:hAnsiTheme="minorHAnsi" w:cstheme="minorHAnsi"/>
          <w:sz w:val="20"/>
          <w:szCs w:val="20"/>
          <w:vertAlign w:val="superscript"/>
        </w:rPr>
        <w:t>†††</w:t>
      </w:r>
    </w:p>
    <w:p w14:paraId="1F717D8D" w14:textId="77777777" w:rsidR="00E736CD" w:rsidRPr="00B216E0" w:rsidRDefault="005B7455" w:rsidP="00E736CD">
      <w:pPr>
        <w:pStyle w:val="ListParagraph"/>
        <w:numPr>
          <w:ilvl w:val="1"/>
          <w:numId w:val="1"/>
        </w:numPr>
        <w:tabs>
          <w:tab w:val="left" w:pos="839"/>
          <w:tab w:val="left" w:pos="840"/>
        </w:tabs>
        <w:ind w:left="839"/>
        <w:rPr>
          <w:rFonts w:asciiTheme="minorHAnsi" w:hAnsiTheme="minorHAnsi" w:cstheme="minorHAnsi"/>
          <w:sz w:val="20"/>
          <w:szCs w:val="20"/>
        </w:rPr>
      </w:pPr>
      <w:r w:rsidRPr="00B216E0">
        <w:rPr>
          <w:rFonts w:asciiTheme="minorHAnsi" w:hAnsiTheme="minorHAnsi" w:cstheme="minorHAnsi"/>
          <w:sz w:val="20"/>
          <w:szCs w:val="20"/>
        </w:rPr>
        <w:t>U.S-based Identity Restoration</w:t>
      </w:r>
      <w:r w:rsidRPr="00B216E0">
        <w:rPr>
          <w:rFonts w:asciiTheme="minorHAnsi" w:hAnsiTheme="minorHAnsi" w:cstheme="minorHAnsi"/>
          <w:spacing w:val="-13"/>
          <w:sz w:val="20"/>
          <w:szCs w:val="20"/>
        </w:rPr>
        <w:t xml:space="preserve"> Team</w:t>
      </w:r>
    </w:p>
    <w:p w14:paraId="5FEA46FD" w14:textId="77777777" w:rsidR="00E736CD" w:rsidRPr="00B216E0" w:rsidRDefault="005B7455" w:rsidP="00E736CD">
      <w:pPr>
        <w:pStyle w:val="ListParagraph"/>
        <w:numPr>
          <w:ilvl w:val="1"/>
          <w:numId w:val="1"/>
        </w:numPr>
        <w:tabs>
          <w:tab w:val="left" w:pos="839"/>
          <w:tab w:val="left" w:pos="840"/>
        </w:tabs>
        <w:rPr>
          <w:rFonts w:asciiTheme="minorHAnsi" w:hAnsiTheme="minorHAnsi" w:cstheme="minorHAnsi"/>
          <w:sz w:val="20"/>
          <w:szCs w:val="20"/>
        </w:rPr>
      </w:pPr>
      <w:r w:rsidRPr="00B216E0">
        <w:rPr>
          <w:rFonts w:asciiTheme="minorHAnsi" w:hAnsiTheme="minorHAnsi" w:cstheme="minorHAnsi"/>
          <w:sz w:val="20"/>
          <w:szCs w:val="20"/>
        </w:rPr>
        <w:t>Annual Three-Bureau Credit Reports &amp; Credit Scores</w:t>
      </w:r>
      <w:r w:rsidRPr="00B216E0">
        <w:rPr>
          <w:rFonts w:asciiTheme="minorHAnsi" w:hAnsiTheme="minorHAnsi" w:cstheme="minorHAnsi"/>
          <w:sz w:val="20"/>
          <w:szCs w:val="20"/>
          <w:vertAlign w:val="superscript"/>
        </w:rPr>
        <w:t>1**</w:t>
      </w:r>
    </w:p>
    <w:p w14:paraId="39B23DAA" w14:textId="77777777" w:rsidR="00E736CD" w:rsidRPr="00B216E0" w:rsidRDefault="005B7455" w:rsidP="00E736CD">
      <w:pPr>
        <w:ind w:left="840" w:right="408"/>
        <w:rPr>
          <w:rFonts w:asciiTheme="minorHAnsi" w:hAnsiTheme="minorHAnsi" w:cstheme="minorHAnsi"/>
          <w:sz w:val="16"/>
          <w:szCs w:val="16"/>
        </w:rPr>
      </w:pPr>
      <w:r w:rsidRPr="00B216E0">
        <w:rPr>
          <w:rFonts w:asciiTheme="minorHAnsi" w:hAnsiTheme="minorHAnsi" w:cstheme="minorHAnsi"/>
          <w:sz w:val="16"/>
          <w:szCs w:val="16"/>
        </w:rPr>
        <w:t xml:space="preserve">The credit scores provided are </w:t>
      </w:r>
      <w:proofErr w:type="spellStart"/>
      <w:r w:rsidRPr="00B216E0">
        <w:rPr>
          <w:rFonts w:asciiTheme="minorHAnsi" w:hAnsiTheme="minorHAnsi" w:cstheme="minorHAnsi"/>
          <w:sz w:val="16"/>
          <w:szCs w:val="16"/>
        </w:rPr>
        <w:t>VantageScore</w:t>
      </w:r>
      <w:proofErr w:type="spellEnd"/>
      <w:r w:rsidRPr="00B216E0">
        <w:rPr>
          <w:rFonts w:asciiTheme="minorHAnsi" w:hAnsiTheme="minorHAnsi" w:cstheme="minorHAnsi"/>
          <w:sz w:val="16"/>
          <w:szCs w:val="16"/>
        </w:rPr>
        <w:t xml:space="preserve"> 3.0 credit scores based on Equifax, </w:t>
      </w:r>
      <w:proofErr w:type="gramStart"/>
      <w:r w:rsidRPr="00B216E0">
        <w:rPr>
          <w:rFonts w:asciiTheme="minorHAnsi" w:hAnsiTheme="minorHAnsi" w:cstheme="minorHAnsi"/>
          <w:sz w:val="16"/>
          <w:szCs w:val="16"/>
        </w:rPr>
        <w:t>Experian</w:t>
      </w:r>
      <w:proofErr w:type="gramEnd"/>
      <w:r w:rsidRPr="00B216E0">
        <w:rPr>
          <w:rFonts w:asciiTheme="minorHAnsi" w:hAnsiTheme="minorHAnsi" w:cstheme="minorHAnsi"/>
          <w:sz w:val="16"/>
          <w:szCs w:val="16"/>
        </w:rPr>
        <w:t xml:space="preserve"> and TransUnion respectively. Third parties use many different types of credit scores and are likely to use a different type of credit score to assess your creditworthiness.</w:t>
      </w:r>
    </w:p>
    <w:p w14:paraId="05F46FDD" w14:textId="77777777" w:rsidR="00E736CD" w:rsidRPr="00B216E0" w:rsidRDefault="005B7455" w:rsidP="00E736CD">
      <w:pPr>
        <w:pStyle w:val="ListParagraph"/>
        <w:numPr>
          <w:ilvl w:val="1"/>
          <w:numId w:val="1"/>
        </w:numPr>
        <w:tabs>
          <w:tab w:val="left" w:pos="839"/>
          <w:tab w:val="left" w:pos="840"/>
        </w:tabs>
        <w:spacing w:before="3" w:line="230" w:lineRule="exact"/>
        <w:ind w:left="839" w:hanging="359"/>
        <w:rPr>
          <w:rFonts w:asciiTheme="minorHAnsi" w:hAnsiTheme="minorHAnsi" w:cstheme="minorHAnsi"/>
          <w:sz w:val="20"/>
          <w:szCs w:val="20"/>
        </w:rPr>
      </w:pPr>
      <w:r w:rsidRPr="00B216E0">
        <w:rPr>
          <w:rFonts w:asciiTheme="minorHAnsi" w:hAnsiTheme="minorHAnsi" w:cstheme="minorHAnsi"/>
          <w:sz w:val="20"/>
          <w:szCs w:val="20"/>
        </w:rPr>
        <w:t>Three-Bureau Credit</w:t>
      </w:r>
      <w:r w:rsidRPr="00B216E0">
        <w:rPr>
          <w:rFonts w:asciiTheme="minorHAnsi" w:hAnsiTheme="minorHAnsi" w:cstheme="minorHAnsi"/>
          <w:spacing w:val="-17"/>
          <w:sz w:val="20"/>
          <w:szCs w:val="20"/>
        </w:rPr>
        <w:t xml:space="preserve"> </w:t>
      </w:r>
      <w:r w:rsidRPr="00B216E0">
        <w:rPr>
          <w:rFonts w:asciiTheme="minorHAnsi" w:hAnsiTheme="minorHAnsi" w:cstheme="minorHAnsi"/>
          <w:sz w:val="20"/>
          <w:szCs w:val="20"/>
        </w:rPr>
        <w:t>Monitoring</w:t>
      </w:r>
      <w:r w:rsidRPr="00B216E0">
        <w:rPr>
          <w:rFonts w:asciiTheme="minorHAnsi" w:hAnsiTheme="minorHAnsi" w:cstheme="minorHAnsi"/>
          <w:sz w:val="20"/>
          <w:szCs w:val="20"/>
          <w:vertAlign w:val="superscript"/>
        </w:rPr>
        <w:t>1**</w:t>
      </w:r>
    </w:p>
    <w:p w14:paraId="0D74213E" w14:textId="77777777" w:rsidR="00E736CD" w:rsidRPr="00B216E0" w:rsidRDefault="005B7455" w:rsidP="00E736CD">
      <w:pPr>
        <w:pStyle w:val="ListParagraph"/>
        <w:numPr>
          <w:ilvl w:val="1"/>
          <w:numId w:val="1"/>
        </w:numPr>
        <w:tabs>
          <w:tab w:val="left" w:pos="839"/>
          <w:tab w:val="left" w:pos="840"/>
        </w:tabs>
        <w:spacing w:before="3" w:line="230" w:lineRule="exact"/>
        <w:ind w:left="839" w:hanging="359"/>
        <w:rPr>
          <w:rFonts w:asciiTheme="minorHAnsi" w:hAnsiTheme="minorHAnsi" w:cstheme="minorHAnsi"/>
          <w:sz w:val="20"/>
          <w:szCs w:val="20"/>
        </w:rPr>
      </w:pPr>
      <w:r w:rsidRPr="00B216E0">
        <w:rPr>
          <w:rFonts w:asciiTheme="minorHAnsi" w:hAnsiTheme="minorHAnsi" w:cstheme="minorHAnsi"/>
          <w:sz w:val="20"/>
          <w:szCs w:val="20"/>
        </w:rPr>
        <w:t>USPS Address Change</w:t>
      </w:r>
      <w:r w:rsidRPr="00B216E0">
        <w:rPr>
          <w:rFonts w:asciiTheme="minorHAnsi" w:hAnsiTheme="minorHAnsi" w:cstheme="minorHAnsi"/>
          <w:spacing w:val="-13"/>
          <w:sz w:val="20"/>
          <w:szCs w:val="20"/>
        </w:rPr>
        <w:t xml:space="preserve"> </w:t>
      </w:r>
      <w:r w:rsidRPr="00B216E0">
        <w:rPr>
          <w:rFonts w:asciiTheme="minorHAnsi" w:hAnsiTheme="minorHAnsi" w:cstheme="minorHAnsi"/>
          <w:sz w:val="20"/>
          <w:szCs w:val="20"/>
        </w:rPr>
        <w:t>Verification Notifications</w:t>
      </w:r>
    </w:p>
    <w:p w14:paraId="3B2C0497" w14:textId="77777777" w:rsidR="00E736CD" w:rsidRPr="00B216E0" w:rsidRDefault="005B7455" w:rsidP="00E736CD">
      <w:pPr>
        <w:pStyle w:val="ListParagraph"/>
        <w:numPr>
          <w:ilvl w:val="1"/>
          <w:numId w:val="1"/>
        </w:numPr>
        <w:tabs>
          <w:tab w:val="left" w:pos="839"/>
          <w:tab w:val="left" w:pos="840"/>
        </w:tabs>
        <w:spacing w:line="229" w:lineRule="exact"/>
        <w:ind w:left="839" w:hanging="359"/>
        <w:rPr>
          <w:rFonts w:asciiTheme="minorHAnsi" w:hAnsiTheme="minorHAnsi" w:cstheme="minorHAnsi"/>
          <w:sz w:val="20"/>
          <w:szCs w:val="20"/>
        </w:rPr>
      </w:pPr>
      <w:r w:rsidRPr="00B216E0">
        <w:rPr>
          <w:rFonts w:asciiTheme="minorHAnsi" w:hAnsiTheme="minorHAnsi" w:cstheme="minorHAnsi"/>
          <w:sz w:val="20"/>
          <w:szCs w:val="20"/>
        </w:rPr>
        <w:t>Fictitious Identity</w:t>
      </w:r>
      <w:r w:rsidRPr="00B216E0">
        <w:rPr>
          <w:rFonts w:asciiTheme="minorHAnsi" w:hAnsiTheme="minorHAnsi" w:cstheme="minorHAnsi"/>
          <w:spacing w:val="-15"/>
          <w:sz w:val="20"/>
          <w:szCs w:val="20"/>
        </w:rPr>
        <w:t xml:space="preserve"> </w:t>
      </w:r>
      <w:r w:rsidRPr="00B216E0">
        <w:rPr>
          <w:rFonts w:asciiTheme="minorHAnsi" w:hAnsiTheme="minorHAnsi" w:cstheme="minorHAnsi"/>
          <w:sz w:val="20"/>
          <w:szCs w:val="20"/>
        </w:rPr>
        <w:t>Monitoring</w:t>
      </w:r>
    </w:p>
    <w:p w14:paraId="22B8F01F" w14:textId="77777777" w:rsidR="00E736CD" w:rsidRPr="00B216E0" w:rsidRDefault="005B7455" w:rsidP="00E736CD">
      <w:pPr>
        <w:pStyle w:val="ListParagraph"/>
        <w:numPr>
          <w:ilvl w:val="1"/>
          <w:numId w:val="1"/>
        </w:numPr>
        <w:tabs>
          <w:tab w:val="left" w:pos="839"/>
          <w:tab w:val="left" w:pos="840"/>
        </w:tabs>
        <w:spacing w:line="229" w:lineRule="exact"/>
        <w:ind w:left="839" w:hanging="359"/>
        <w:rPr>
          <w:rFonts w:asciiTheme="minorHAnsi" w:hAnsiTheme="minorHAnsi" w:cstheme="minorHAnsi"/>
          <w:sz w:val="20"/>
          <w:szCs w:val="20"/>
        </w:rPr>
      </w:pPr>
      <w:r w:rsidRPr="00B216E0">
        <w:rPr>
          <w:rFonts w:asciiTheme="minorHAnsi" w:hAnsiTheme="minorHAnsi" w:cstheme="minorHAnsi"/>
          <w:sz w:val="20"/>
          <w:szCs w:val="20"/>
        </w:rPr>
        <w:t>Credit, Checking and Savings Account Activity</w:t>
      </w:r>
      <w:r w:rsidRPr="00B216E0">
        <w:rPr>
          <w:rFonts w:asciiTheme="minorHAnsi" w:hAnsiTheme="minorHAnsi" w:cstheme="minorHAnsi"/>
          <w:spacing w:val="-22"/>
          <w:sz w:val="20"/>
          <w:szCs w:val="20"/>
        </w:rPr>
        <w:t xml:space="preserve"> </w:t>
      </w:r>
      <w:r w:rsidRPr="00B216E0">
        <w:rPr>
          <w:rFonts w:asciiTheme="minorHAnsi" w:hAnsiTheme="minorHAnsi" w:cstheme="minorHAnsi"/>
          <w:sz w:val="20"/>
          <w:szCs w:val="20"/>
        </w:rPr>
        <w:t>Alerts</w:t>
      </w:r>
      <w:r w:rsidRPr="00B216E0">
        <w:rPr>
          <w:rFonts w:asciiTheme="minorHAnsi" w:hAnsiTheme="minorHAnsi" w:cstheme="minorHAnsi"/>
          <w:sz w:val="20"/>
          <w:szCs w:val="20"/>
          <w:vertAlign w:val="superscript"/>
        </w:rPr>
        <w:t>†**</w:t>
      </w:r>
    </w:p>
    <w:p w14:paraId="2BE091E1" w14:textId="77777777" w:rsidR="00E736CD" w:rsidRDefault="003836DB" w:rsidP="00E736CD">
      <w:pPr>
        <w:rPr>
          <w:sz w:val="20"/>
          <w:szCs w:val="16"/>
          <w:vertAlign w:val="superscript"/>
        </w:rPr>
      </w:pPr>
    </w:p>
    <w:p w14:paraId="61493C8D" w14:textId="77777777" w:rsidR="00E736CD" w:rsidRPr="00B216E0" w:rsidRDefault="005B7455" w:rsidP="00E736CD">
      <w:pPr>
        <w:contextualSpacing/>
        <w:rPr>
          <w:rFonts w:asciiTheme="minorHAnsi" w:hAnsiTheme="minorHAnsi" w:cstheme="minorHAnsi"/>
          <w:sz w:val="15"/>
          <w:szCs w:val="15"/>
        </w:rPr>
      </w:pPr>
      <w:r w:rsidRPr="00B216E0">
        <w:rPr>
          <w:rFonts w:asciiTheme="minorHAnsi" w:hAnsiTheme="minorHAnsi" w:cstheme="minorHAnsi"/>
          <w:sz w:val="15"/>
          <w:szCs w:val="15"/>
          <w:vertAlign w:val="superscript"/>
        </w:rPr>
        <w:t>1</w:t>
      </w:r>
      <w:r w:rsidRPr="00B216E0">
        <w:rPr>
          <w:rFonts w:asciiTheme="minorHAnsi" w:hAnsiTheme="minorHAnsi" w:cstheme="minorHAnsi"/>
          <w:sz w:val="15"/>
          <w:szCs w:val="15"/>
        </w:rPr>
        <w:t>If your plan includes credit reports, scores, and/or credit monitoring features (“Credit Features”), two requirements must be met to receive said features: (</w:t>
      </w:r>
      <w:proofErr w:type="spellStart"/>
      <w:r w:rsidRPr="00B216E0">
        <w:rPr>
          <w:rFonts w:asciiTheme="minorHAnsi" w:hAnsiTheme="minorHAnsi" w:cstheme="minorHAnsi"/>
          <w:sz w:val="15"/>
          <w:szCs w:val="15"/>
        </w:rPr>
        <w:t>i</w:t>
      </w:r>
      <w:proofErr w:type="spellEnd"/>
      <w:r w:rsidRPr="00B216E0">
        <w:rPr>
          <w:rFonts w:asciiTheme="minorHAnsi" w:hAnsiTheme="minorHAnsi" w:cstheme="minorHAnsi"/>
          <w:sz w:val="15"/>
          <w:szCs w:val="15"/>
        </w:rPr>
        <w:t>) your identity must be successfully verified with Equifax; and (ii) Equifax must be able to locate your credit file and it must contain sufficient credit history information. IF EITHER OF THE FOREGOING REQUIREMENTS ARE NOT MET YOU WILL NOT RECEIVE CREDIT FEATURES FROM ANY BUREAU. If your plan also includes Credit Features from Experian and/or TransUnion, the above verification process must also be successfully completed with Experian and/or TransUnion, as applicable. If verification is successfully completed with Equifax, but not with Experian and/or TransUnion, as applicable, you will not receive Credit Features from such bureau(s) until the verification process is successfully completed and until then you will only receive Credit Features from Equifax. Any credit monitoring from Experian and TransUnion will take several days to begin after your successful plan enrollment.</w:t>
      </w:r>
    </w:p>
    <w:p w14:paraId="51A4E8EE" w14:textId="77777777" w:rsidR="00E736CD" w:rsidRPr="00B216E0" w:rsidRDefault="005B7455" w:rsidP="00E736CD">
      <w:pPr>
        <w:contextualSpacing/>
        <w:rPr>
          <w:rFonts w:asciiTheme="minorHAnsi" w:hAnsiTheme="minorHAnsi" w:cstheme="minorHAnsi"/>
          <w:sz w:val="15"/>
          <w:szCs w:val="15"/>
        </w:rPr>
      </w:pPr>
      <w:r w:rsidRPr="00B216E0">
        <w:rPr>
          <w:rFonts w:asciiTheme="minorHAnsi" w:hAnsiTheme="minorHAnsi" w:cstheme="minorHAnsi"/>
          <w:sz w:val="15"/>
          <w:szCs w:val="15"/>
        </w:rPr>
        <w:t xml:space="preserve">No one can prevent all identity theft or cybercrime. </w:t>
      </w:r>
      <w:r w:rsidRPr="00B216E0">
        <w:rPr>
          <w:rFonts w:asciiTheme="minorHAnsi" w:hAnsiTheme="minorHAnsi" w:cstheme="minorHAnsi"/>
          <w:sz w:val="15"/>
          <w:szCs w:val="15"/>
          <w:vertAlign w:val="superscript"/>
        </w:rPr>
        <w:t xml:space="preserve">† </w:t>
      </w:r>
      <w:r w:rsidRPr="00B216E0">
        <w:rPr>
          <w:rFonts w:asciiTheme="minorHAnsi" w:hAnsiTheme="minorHAnsi" w:cstheme="minorHAnsi"/>
          <w:sz w:val="15"/>
          <w:szCs w:val="15"/>
        </w:rPr>
        <w:t>LifeLock does not monitor all transactions at all businesses.</w:t>
      </w:r>
    </w:p>
    <w:p w14:paraId="3E88C808" w14:textId="77777777" w:rsidR="00E736CD" w:rsidRPr="00B216E0" w:rsidRDefault="005B7455" w:rsidP="00E736CD">
      <w:pPr>
        <w:contextualSpacing/>
        <w:rPr>
          <w:rFonts w:asciiTheme="minorHAnsi" w:hAnsiTheme="minorHAnsi" w:cstheme="minorHAnsi"/>
          <w:sz w:val="15"/>
          <w:szCs w:val="15"/>
        </w:rPr>
      </w:pPr>
      <w:r w:rsidRPr="00B216E0">
        <w:rPr>
          <w:rFonts w:asciiTheme="minorHAnsi" w:hAnsiTheme="minorHAnsi" w:cstheme="minorHAnsi"/>
          <w:sz w:val="15"/>
          <w:szCs w:val="15"/>
          <w:vertAlign w:val="superscript"/>
        </w:rPr>
        <w:t>2</w:t>
      </w:r>
      <w:bookmarkStart w:id="0" w:name="_Hlk7175126"/>
      <w:r w:rsidRPr="00B216E0">
        <w:rPr>
          <w:rFonts w:asciiTheme="minorHAnsi" w:hAnsiTheme="minorHAnsi" w:cstheme="minorHAnsi"/>
          <w:sz w:val="15"/>
          <w:szCs w:val="15"/>
        </w:rPr>
        <w:t xml:space="preserve"> Norton Security Online provides protection against viruses, spyware, malware, and other online threats for up to 5 PCs, Macs, Android devices. Norton account features not supported in this edition of Norton Security Online. As a result, some mobile features for Android are not available such as anti-theft and mobile contacts backup. iOS is not supported.</w:t>
      </w:r>
      <w:bookmarkEnd w:id="0"/>
    </w:p>
    <w:p w14:paraId="206E9F05" w14:textId="77777777" w:rsidR="00E736CD" w:rsidRPr="00B216E0" w:rsidRDefault="005B7455" w:rsidP="00E736CD">
      <w:pPr>
        <w:tabs>
          <w:tab w:val="left" w:pos="228"/>
        </w:tabs>
        <w:spacing w:before="2"/>
        <w:contextualSpacing/>
        <w:rPr>
          <w:rFonts w:asciiTheme="minorHAnsi" w:hAnsiTheme="minorHAnsi" w:cstheme="minorHAnsi"/>
          <w:sz w:val="15"/>
          <w:szCs w:val="15"/>
        </w:rPr>
      </w:pPr>
      <w:r w:rsidRPr="00B216E0">
        <w:rPr>
          <w:rFonts w:asciiTheme="minorHAnsi" w:hAnsiTheme="minorHAnsi" w:cstheme="minorHAnsi"/>
          <w:sz w:val="15"/>
          <w:szCs w:val="15"/>
        </w:rPr>
        <w:t>**These features are not enabled upon enrollment.  Member must take action to get their protection.</w:t>
      </w:r>
    </w:p>
    <w:p w14:paraId="4ED73A90" w14:textId="77777777" w:rsidR="00E736CD" w:rsidRPr="001B554C" w:rsidRDefault="005B7455" w:rsidP="00E736CD">
      <w:pPr>
        <w:tabs>
          <w:tab w:val="left" w:pos="228"/>
        </w:tabs>
        <w:spacing w:before="2"/>
        <w:contextualSpacing/>
        <w:rPr>
          <w:rFonts w:ascii="Times New Roman" w:hAnsi="Times New Roman"/>
          <w:sz w:val="24"/>
          <w:szCs w:val="24"/>
        </w:rPr>
      </w:pPr>
      <w:r w:rsidRPr="00B216E0">
        <w:rPr>
          <w:rFonts w:asciiTheme="minorHAnsi" w:hAnsiTheme="minorHAnsi" w:cstheme="minorHAnsi"/>
          <w:sz w:val="15"/>
          <w:szCs w:val="15"/>
          <w:vertAlign w:val="superscript"/>
        </w:rPr>
        <w:lastRenderedPageBreak/>
        <w:t>†††</w:t>
      </w:r>
      <w:r w:rsidRPr="00B216E0">
        <w:rPr>
          <w:rFonts w:asciiTheme="minorHAnsi" w:hAnsiTheme="minorHAnsi" w:cstheme="minorHAnsi"/>
          <w:sz w:val="15"/>
          <w:szCs w:val="15"/>
        </w:rPr>
        <w:t xml:space="preserve"> Reimbursement and Expense Compensation, each with limits of up to $25,000 for Defender Preferred.  And up to $1 million for coverage for lawyers and experts if needed. Benefits under the Master Policy are issued and covered by United Specialty Insurance Company (State National Insurance Company, Inc. for NY State members). Policy terms, </w:t>
      </w:r>
      <w:proofErr w:type="gramStart"/>
      <w:r w:rsidRPr="00B216E0">
        <w:rPr>
          <w:rFonts w:asciiTheme="minorHAnsi" w:hAnsiTheme="minorHAnsi" w:cstheme="minorHAnsi"/>
          <w:sz w:val="15"/>
          <w:szCs w:val="15"/>
        </w:rPr>
        <w:t>conditions</w:t>
      </w:r>
      <w:proofErr w:type="gramEnd"/>
      <w:r w:rsidRPr="00B216E0">
        <w:rPr>
          <w:rFonts w:asciiTheme="minorHAnsi" w:hAnsiTheme="minorHAnsi" w:cstheme="minorHAnsi"/>
          <w:sz w:val="15"/>
          <w:szCs w:val="15"/>
        </w:rPr>
        <w:t xml:space="preserve"> and exclusions at: LifeLock.com/legal.</w:t>
      </w:r>
    </w:p>
    <w:sectPr w:rsidR="00E736CD" w:rsidRPr="001B55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69A8" w14:textId="77777777" w:rsidR="003836DB" w:rsidRDefault="003836DB">
      <w:r>
        <w:separator/>
      </w:r>
    </w:p>
  </w:endnote>
  <w:endnote w:type="continuationSeparator" w:id="0">
    <w:p w14:paraId="6A6FD294" w14:textId="77777777" w:rsidR="003836DB" w:rsidRDefault="0038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F1D2" w14:textId="77777777" w:rsidR="003836DB" w:rsidRDefault="003836DB">
      <w:r>
        <w:separator/>
      </w:r>
    </w:p>
  </w:footnote>
  <w:footnote w:type="continuationSeparator" w:id="0">
    <w:p w14:paraId="7738A773" w14:textId="77777777" w:rsidR="003836DB" w:rsidRDefault="0038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E2CB" w14:textId="20165D89" w:rsidR="00BD6D5E" w:rsidRDefault="0038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6CA"/>
    <w:multiLevelType w:val="hybridMultilevel"/>
    <w:tmpl w:val="08D64978"/>
    <w:lvl w:ilvl="0" w:tplc="59187EE4">
      <w:start w:val="1"/>
      <w:numFmt w:val="decimal"/>
      <w:lvlText w:val="%1."/>
      <w:lvlJc w:val="left"/>
      <w:pPr>
        <w:ind w:left="479" w:hanging="360"/>
      </w:pPr>
      <w:rPr>
        <w:rFonts w:ascii="Arial" w:eastAsia="Arial" w:hAnsi="Arial" w:cs="Arial" w:hint="default"/>
        <w:b w:val="0"/>
        <w:spacing w:val="-1"/>
        <w:w w:val="99"/>
        <w:sz w:val="20"/>
        <w:szCs w:val="20"/>
      </w:rPr>
    </w:lvl>
    <w:lvl w:ilvl="1" w:tplc="8416A356">
      <w:numFmt w:val="bullet"/>
      <w:lvlText w:val=""/>
      <w:lvlJc w:val="left"/>
      <w:pPr>
        <w:ind w:left="840" w:hanging="360"/>
      </w:pPr>
      <w:rPr>
        <w:rFonts w:ascii="Wingdings" w:eastAsia="Wingdings" w:hAnsi="Wingdings" w:cs="Wingdings" w:hint="default"/>
        <w:w w:val="99"/>
        <w:sz w:val="20"/>
        <w:szCs w:val="20"/>
      </w:rPr>
    </w:lvl>
    <w:lvl w:ilvl="2" w:tplc="BFB8A81A">
      <w:numFmt w:val="bullet"/>
      <w:lvlText w:val="•"/>
      <w:lvlJc w:val="left"/>
      <w:pPr>
        <w:ind w:left="1804" w:hanging="360"/>
      </w:pPr>
      <w:rPr>
        <w:rFonts w:hint="default"/>
      </w:rPr>
    </w:lvl>
    <w:lvl w:ilvl="3" w:tplc="8F60E5B2">
      <w:numFmt w:val="bullet"/>
      <w:lvlText w:val="•"/>
      <w:lvlJc w:val="left"/>
      <w:pPr>
        <w:ind w:left="2768" w:hanging="360"/>
      </w:pPr>
      <w:rPr>
        <w:rFonts w:hint="default"/>
      </w:rPr>
    </w:lvl>
    <w:lvl w:ilvl="4" w:tplc="894EEF98">
      <w:numFmt w:val="bullet"/>
      <w:lvlText w:val="•"/>
      <w:lvlJc w:val="left"/>
      <w:pPr>
        <w:ind w:left="3733" w:hanging="360"/>
      </w:pPr>
      <w:rPr>
        <w:rFonts w:hint="default"/>
      </w:rPr>
    </w:lvl>
    <w:lvl w:ilvl="5" w:tplc="3846408E">
      <w:numFmt w:val="bullet"/>
      <w:lvlText w:val="•"/>
      <w:lvlJc w:val="left"/>
      <w:pPr>
        <w:ind w:left="4697" w:hanging="360"/>
      </w:pPr>
      <w:rPr>
        <w:rFonts w:hint="default"/>
      </w:rPr>
    </w:lvl>
    <w:lvl w:ilvl="6" w:tplc="06B801AA">
      <w:numFmt w:val="bullet"/>
      <w:lvlText w:val="•"/>
      <w:lvlJc w:val="left"/>
      <w:pPr>
        <w:ind w:left="5662" w:hanging="360"/>
      </w:pPr>
      <w:rPr>
        <w:rFonts w:hint="default"/>
      </w:rPr>
    </w:lvl>
    <w:lvl w:ilvl="7" w:tplc="51524D56">
      <w:numFmt w:val="bullet"/>
      <w:lvlText w:val="•"/>
      <w:lvlJc w:val="left"/>
      <w:pPr>
        <w:ind w:left="6626" w:hanging="360"/>
      </w:pPr>
      <w:rPr>
        <w:rFonts w:hint="default"/>
      </w:rPr>
    </w:lvl>
    <w:lvl w:ilvl="8" w:tplc="32AA01A4">
      <w:numFmt w:val="bullet"/>
      <w:lvlText w:val="•"/>
      <w:lvlJc w:val="left"/>
      <w:pPr>
        <w:ind w:left="75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08"/>
    <w:rsid w:val="00022063"/>
    <w:rsid w:val="00023161"/>
    <w:rsid w:val="00217CD2"/>
    <w:rsid w:val="002C5688"/>
    <w:rsid w:val="00336FC6"/>
    <w:rsid w:val="00354B2D"/>
    <w:rsid w:val="003836DB"/>
    <w:rsid w:val="00422282"/>
    <w:rsid w:val="004A5C2D"/>
    <w:rsid w:val="0051518A"/>
    <w:rsid w:val="005B7455"/>
    <w:rsid w:val="00656DB3"/>
    <w:rsid w:val="00661063"/>
    <w:rsid w:val="00715B01"/>
    <w:rsid w:val="00814A08"/>
    <w:rsid w:val="008B3172"/>
    <w:rsid w:val="00947899"/>
    <w:rsid w:val="00950B60"/>
    <w:rsid w:val="009A76E5"/>
    <w:rsid w:val="00A303F1"/>
    <w:rsid w:val="00AF7C27"/>
    <w:rsid w:val="00BC77DC"/>
    <w:rsid w:val="00CE79EC"/>
    <w:rsid w:val="00E03952"/>
    <w:rsid w:val="00EA261D"/>
    <w:rsid w:val="00F000F4"/>
    <w:rsid w:val="00F4499E"/>
    <w:rsid w:val="00F97E06"/>
    <w:rsid w:val="00FA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1060"/>
  <w15:docId w15:val="{FDF0566D-482C-4276-968D-7F68D55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6F"/>
    <w:pPr>
      <w:spacing w:after="0" w:line="240" w:lineRule="auto"/>
    </w:pPr>
    <w:rPr>
      <w:rFonts w:ascii="Calibri" w:hAnsi="Calibri" w:cs="Times New Roman"/>
    </w:rPr>
  </w:style>
  <w:style w:type="paragraph" w:styleId="Heading1">
    <w:name w:val="heading 1"/>
    <w:basedOn w:val="Normal"/>
    <w:link w:val="Heading1Char"/>
    <w:uiPriority w:val="1"/>
    <w:qFormat/>
    <w:rsid w:val="00E736CD"/>
    <w:pPr>
      <w:widowControl w:val="0"/>
      <w:autoSpaceDE w:val="0"/>
      <w:autoSpaceDN w:val="0"/>
      <w:ind w:left="1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54C"/>
    <w:rPr>
      <w:color w:val="0563C1" w:themeColor="hyperlink"/>
      <w:u w:val="single"/>
    </w:rPr>
  </w:style>
  <w:style w:type="paragraph" w:styleId="BalloonText">
    <w:name w:val="Balloon Text"/>
    <w:basedOn w:val="Normal"/>
    <w:link w:val="BalloonTextChar"/>
    <w:uiPriority w:val="99"/>
    <w:semiHidden/>
    <w:unhideWhenUsed/>
    <w:rsid w:val="00CB1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2C5"/>
    <w:rPr>
      <w:rFonts w:ascii="Segoe UI" w:hAnsi="Segoe UI" w:cs="Segoe UI"/>
      <w:sz w:val="18"/>
      <w:szCs w:val="18"/>
    </w:rPr>
  </w:style>
  <w:style w:type="character" w:styleId="CommentReference">
    <w:name w:val="annotation reference"/>
    <w:basedOn w:val="DefaultParagraphFont"/>
    <w:uiPriority w:val="99"/>
    <w:semiHidden/>
    <w:unhideWhenUsed/>
    <w:rsid w:val="003D0280"/>
    <w:rPr>
      <w:sz w:val="16"/>
      <w:szCs w:val="16"/>
    </w:rPr>
  </w:style>
  <w:style w:type="paragraph" w:styleId="CommentText">
    <w:name w:val="annotation text"/>
    <w:basedOn w:val="Normal"/>
    <w:link w:val="CommentTextChar"/>
    <w:uiPriority w:val="99"/>
    <w:semiHidden/>
    <w:unhideWhenUsed/>
    <w:rsid w:val="003D0280"/>
    <w:rPr>
      <w:sz w:val="20"/>
      <w:szCs w:val="20"/>
    </w:rPr>
  </w:style>
  <w:style w:type="character" w:customStyle="1" w:styleId="CommentTextChar">
    <w:name w:val="Comment Text Char"/>
    <w:basedOn w:val="DefaultParagraphFont"/>
    <w:link w:val="CommentText"/>
    <w:uiPriority w:val="99"/>
    <w:semiHidden/>
    <w:rsid w:val="003D028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280"/>
    <w:rPr>
      <w:b/>
      <w:bCs/>
    </w:rPr>
  </w:style>
  <w:style w:type="character" w:customStyle="1" w:styleId="CommentSubjectChar">
    <w:name w:val="Comment Subject Char"/>
    <w:basedOn w:val="CommentTextChar"/>
    <w:link w:val="CommentSubject"/>
    <w:uiPriority w:val="99"/>
    <w:semiHidden/>
    <w:rsid w:val="003D0280"/>
    <w:rPr>
      <w:rFonts w:ascii="Calibri" w:hAnsi="Calibri" w:cs="Times New Roman"/>
      <w:b/>
      <w:bCs/>
      <w:sz w:val="20"/>
      <w:szCs w:val="20"/>
    </w:rPr>
  </w:style>
  <w:style w:type="paragraph" w:styleId="Header">
    <w:name w:val="header"/>
    <w:basedOn w:val="Normal"/>
    <w:link w:val="HeaderChar"/>
    <w:uiPriority w:val="99"/>
    <w:unhideWhenUsed/>
    <w:rsid w:val="00BD6D5E"/>
    <w:pPr>
      <w:tabs>
        <w:tab w:val="center" w:pos="4680"/>
        <w:tab w:val="right" w:pos="9360"/>
      </w:tabs>
    </w:pPr>
  </w:style>
  <w:style w:type="character" w:customStyle="1" w:styleId="HeaderChar">
    <w:name w:val="Header Char"/>
    <w:basedOn w:val="DefaultParagraphFont"/>
    <w:link w:val="Header"/>
    <w:uiPriority w:val="99"/>
    <w:rsid w:val="00BD6D5E"/>
    <w:rPr>
      <w:rFonts w:ascii="Calibri" w:hAnsi="Calibri" w:cs="Times New Roman"/>
    </w:rPr>
  </w:style>
  <w:style w:type="paragraph" w:styleId="Footer">
    <w:name w:val="footer"/>
    <w:basedOn w:val="Normal"/>
    <w:link w:val="FooterChar"/>
    <w:uiPriority w:val="99"/>
    <w:unhideWhenUsed/>
    <w:rsid w:val="00BD6D5E"/>
    <w:pPr>
      <w:tabs>
        <w:tab w:val="center" w:pos="4680"/>
        <w:tab w:val="right" w:pos="9360"/>
      </w:tabs>
    </w:pPr>
  </w:style>
  <w:style w:type="character" w:customStyle="1" w:styleId="FooterChar">
    <w:name w:val="Footer Char"/>
    <w:basedOn w:val="DefaultParagraphFont"/>
    <w:link w:val="Footer"/>
    <w:uiPriority w:val="99"/>
    <w:rsid w:val="00BD6D5E"/>
    <w:rPr>
      <w:rFonts w:ascii="Calibri" w:hAnsi="Calibri" w:cs="Times New Roman"/>
    </w:rPr>
  </w:style>
  <w:style w:type="character" w:customStyle="1" w:styleId="Heading1Char">
    <w:name w:val="Heading 1 Char"/>
    <w:basedOn w:val="DefaultParagraphFont"/>
    <w:link w:val="Heading1"/>
    <w:uiPriority w:val="1"/>
    <w:rsid w:val="00E736CD"/>
    <w:rPr>
      <w:rFonts w:ascii="Arial" w:eastAsia="Arial" w:hAnsi="Arial" w:cs="Arial"/>
      <w:b/>
      <w:bCs/>
      <w:sz w:val="20"/>
      <w:szCs w:val="20"/>
    </w:rPr>
  </w:style>
  <w:style w:type="paragraph" w:styleId="BodyText">
    <w:name w:val="Body Text"/>
    <w:basedOn w:val="Normal"/>
    <w:link w:val="BodyTextChar"/>
    <w:uiPriority w:val="1"/>
    <w:qFormat/>
    <w:rsid w:val="00E736C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736CD"/>
    <w:rPr>
      <w:rFonts w:ascii="Arial" w:eastAsia="Arial" w:hAnsi="Arial" w:cs="Arial"/>
      <w:sz w:val="20"/>
      <w:szCs w:val="20"/>
    </w:rPr>
  </w:style>
  <w:style w:type="paragraph" w:styleId="ListParagraph">
    <w:name w:val="List Paragraph"/>
    <w:basedOn w:val="Normal"/>
    <w:uiPriority w:val="1"/>
    <w:qFormat/>
    <w:rsid w:val="00E736CD"/>
    <w:pPr>
      <w:widowControl w:val="0"/>
      <w:autoSpaceDE w:val="0"/>
      <w:autoSpaceDN w:val="0"/>
      <w:ind w:left="839" w:hanging="359"/>
    </w:pPr>
    <w:rPr>
      <w:rFonts w:ascii="Arial" w:eastAsia="Arial" w:hAnsi="Arial" w:cs="Arial"/>
    </w:rPr>
  </w:style>
  <w:style w:type="paragraph" w:styleId="Revision">
    <w:name w:val="Revision"/>
    <w:hidden/>
    <w:uiPriority w:val="99"/>
    <w:semiHidden/>
    <w:rsid w:val="00075D63"/>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075D63"/>
    <w:rPr>
      <w:sz w:val="20"/>
      <w:szCs w:val="20"/>
    </w:rPr>
  </w:style>
  <w:style w:type="character" w:customStyle="1" w:styleId="FootnoteTextChar">
    <w:name w:val="Footnote Text Char"/>
    <w:basedOn w:val="DefaultParagraphFont"/>
    <w:link w:val="FootnoteText"/>
    <w:uiPriority w:val="99"/>
    <w:semiHidden/>
    <w:rsid w:val="00075D63"/>
    <w:rPr>
      <w:rFonts w:ascii="Calibri" w:hAnsi="Calibri" w:cs="Times New Roman"/>
      <w:sz w:val="20"/>
      <w:szCs w:val="20"/>
    </w:rPr>
  </w:style>
  <w:style w:type="character" w:styleId="FootnoteReference">
    <w:name w:val="footnote reference"/>
    <w:basedOn w:val="DefaultParagraphFont"/>
    <w:uiPriority w:val="99"/>
    <w:semiHidden/>
    <w:unhideWhenUsed/>
    <w:rsid w:val="00075D63"/>
    <w:rPr>
      <w:vertAlign w:val="superscript"/>
    </w:rPr>
  </w:style>
  <w:style w:type="character" w:styleId="UnresolvedMention">
    <w:name w:val="Unresolved Mention"/>
    <w:basedOn w:val="DefaultParagraphFont"/>
    <w:uiPriority w:val="99"/>
    <w:semiHidden/>
    <w:unhideWhenUsed/>
    <w:rsid w:val="00A30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5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sumer.ftc.gov/articles/pdf-0009_identitytheft_a_recovery_plan.pdf" TargetMode="External"/><Relationship Id="rId4" Type="http://schemas.openxmlformats.org/officeDocument/2006/relationships/settings" Target="settings.xml"/><Relationship Id="rId9" Type="http://schemas.openxmlformats.org/officeDocument/2006/relationships/image" Target="cid:image004.jpg@01D710FE.BAE07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468D-0E0B-4827-9D7D-4650FE81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Boynton</dc:creator>
  <cp:lastModifiedBy>Kelling, Christian</cp:lastModifiedBy>
  <cp:revision>2</cp:revision>
  <dcterms:created xsi:type="dcterms:W3CDTF">2021-04-13T21:26:00Z</dcterms:created>
  <dcterms:modified xsi:type="dcterms:W3CDTF">2021-04-13T21:26:00Z</dcterms:modified>
</cp:coreProperties>
</file>