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0529" w14:textId="1F8895F3" w:rsidR="00FF1A94" w:rsidRPr="003E142C" w:rsidRDefault="00CA7254" w:rsidP="00CA7254">
      <w:pPr>
        <w:jc w:val="center"/>
        <w:rPr>
          <w:rFonts w:ascii="Arial" w:hAnsi="Arial" w:cs="Arial"/>
          <w:b/>
          <w:bCs/>
          <w:sz w:val="24"/>
          <w:szCs w:val="24"/>
          <w:u w:val="single"/>
        </w:rPr>
      </w:pPr>
      <w:r w:rsidRPr="003E142C">
        <w:rPr>
          <w:rFonts w:ascii="Arial" w:hAnsi="Arial" w:cs="Arial"/>
          <w:b/>
          <w:bCs/>
          <w:sz w:val="24"/>
          <w:szCs w:val="24"/>
          <w:u w:val="single"/>
        </w:rPr>
        <w:t>Management Control Agreement</w:t>
      </w:r>
    </w:p>
    <w:p w14:paraId="55ED4665" w14:textId="27922EFB" w:rsidR="00CA7254" w:rsidRPr="003E142C" w:rsidRDefault="00CA7254">
      <w:pPr>
        <w:rPr>
          <w:rFonts w:ascii="Arial" w:hAnsi="Arial" w:cs="Arial"/>
          <w:sz w:val="24"/>
          <w:szCs w:val="24"/>
        </w:rPr>
      </w:pPr>
      <w:r w:rsidRPr="003E142C">
        <w:rPr>
          <w:rFonts w:ascii="Arial" w:hAnsi="Arial" w:cs="Arial"/>
          <w:sz w:val="24"/>
          <w:szCs w:val="24"/>
        </w:rPr>
        <w:t>Pursuant to the CJIS Security Policy, it is agreed that with respect to administration of that portion of computer systems and network infrastructure interfacing directly or indirectly with the state network (NETWORK NAME) for the interstate exchange of criminal history/criminal justice information, the (CRIMINAL JUSTICE AGENCY) shall have the authority, via managed control, to set, maintain, and enforce:</w:t>
      </w:r>
    </w:p>
    <w:p w14:paraId="2E211678" w14:textId="3C92E7E4" w:rsidR="00CA7254" w:rsidRPr="003E142C" w:rsidRDefault="00CA7254" w:rsidP="00CA7254">
      <w:pPr>
        <w:pStyle w:val="ListParagraph"/>
        <w:numPr>
          <w:ilvl w:val="0"/>
          <w:numId w:val="1"/>
        </w:numPr>
        <w:rPr>
          <w:rFonts w:ascii="Arial" w:hAnsi="Arial" w:cs="Arial"/>
          <w:sz w:val="24"/>
          <w:szCs w:val="24"/>
        </w:rPr>
      </w:pPr>
      <w:r w:rsidRPr="003E142C">
        <w:rPr>
          <w:rFonts w:ascii="Arial" w:hAnsi="Arial" w:cs="Arial"/>
          <w:sz w:val="24"/>
          <w:szCs w:val="24"/>
        </w:rPr>
        <w:t>Priorities.</w:t>
      </w:r>
    </w:p>
    <w:p w14:paraId="6AD6E0E7" w14:textId="07A75363" w:rsidR="00CA7254" w:rsidRPr="003E142C" w:rsidRDefault="00CA7254" w:rsidP="00CA7254">
      <w:pPr>
        <w:pStyle w:val="ListParagraph"/>
        <w:numPr>
          <w:ilvl w:val="0"/>
          <w:numId w:val="1"/>
        </w:numPr>
        <w:rPr>
          <w:rFonts w:ascii="Arial" w:hAnsi="Arial" w:cs="Arial"/>
          <w:sz w:val="24"/>
          <w:szCs w:val="24"/>
        </w:rPr>
      </w:pPr>
      <w:r w:rsidRPr="003E142C">
        <w:rPr>
          <w:rFonts w:ascii="Arial" w:hAnsi="Arial" w:cs="Arial"/>
          <w:sz w:val="24"/>
          <w:szCs w:val="24"/>
        </w:rPr>
        <w:t xml:space="preserve">Standards for selection, supervision, and termination of personnel access to Criminal Justice Information (CJI). </w:t>
      </w:r>
    </w:p>
    <w:p w14:paraId="3936B2D7" w14:textId="39F8532C" w:rsidR="00CA7254" w:rsidRPr="003E142C" w:rsidRDefault="00CA7254" w:rsidP="00CA7254">
      <w:pPr>
        <w:pStyle w:val="ListParagraph"/>
        <w:numPr>
          <w:ilvl w:val="0"/>
          <w:numId w:val="1"/>
        </w:numPr>
        <w:rPr>
          <w:rFonts w:ascii="Arial" w:hAnsi="Arial" w:cs="Arial"/>
          <w:sz w:val="24"/>
          <w:szCs w:val="24"/>
        </w:rPr>
      </w:pPr>
      <w:r w:rsidRPr="003E142C">
        <w:rPr>
          <w:rFonts w:ascii="Arial" w:hAnsi="Arial" w:cs="Arial"/>
          <w:sz w:val="24"/>
          <w:szCs w:val="24"/>
        </w:rPr>
        <w:t xml:space="preserve">Policy governing operation of justice systems, computers, access devices, circuits, hubs, routers, firewalls, and any other components, including encryption, that comprise and support a telecommunications network and related criminal justice systems to include </w:t>
      </w:r>
      <w:r w:rsidR="003E142C" w:rsidRPr="003E142C">
        <w:rPr>
          <w:rFonts w:ascii="Arial" w:hAnsi="Arial" w:cs="Arial"/>
          <w:sz w:val="24"/>
          <w:szCs w:val="24"/>
        </w:rPr>
        <w:t>but</w:t>
      </w:r>
      <w:r w:rsidRPr="003E142C">
        <w:rPr>
          <w:rFonts w:ascii="Arial" w:hAnsi="Arial" w:cs="Arial"/>
          <w:sz w:val="24"/>
          <w:szCs w:val="24"/>
        </w:rPr>
        <w:t xml:space="preserve"> not limited to criminal history record/criminal justice information, insofar as the equipment is used to process or transmit criminal justice systems information guaranteeing the priority, integrity, and availability of service needed by the criminal justice community. </w:t>
      </w:r>
    </w:p>
    <w:p w14:paraId="3945D8A6" w14:textId="259E381A" w:rsidR="00CA7254" w:rsidRPr="003E142C" w:rsidRDefault="00CA7254" w:rsidP="00CA7254">
      <w:pPr>
        <w:pStyle w:val="ListParagraph"/>
        <w:numPr>
          <w:ilvl w:val="0"/>
          <w:numId w:val="1"/>
        </w:numPr>
        <w:rPr>
          <w:rFonts w:ascii="Arial" w:hAnsi="Arial" w:cs="Arial"/>
          <w:sz w:val="24"/>
          <w:szCs w:val="24"/>
        </w:rPr>
      </w:pPr>
      <w:r w:rsidRPr="003E142C">
        <w:rPr>
          <w:rFonts w:ascii="Arial" w:hAnsi="Arial" w:cs="Arial"/>
          <w:sz w:val="24"/>
          <w:szCs w:val="24"/>
        </w:rPr>
        <w:t xml:space="preserve">Restriction of unauthorized personnel from access or use of equipment accessing the State network. </w:t>
      </w:r>
    </w:p>
    <w:p w14:paraId="41DAF245" w14:textId="186B3D89" w:rsidR="00CA7254" w:rsidRPr="003E142C" w:rsidRDefault="00CA7254" w:rsidP="00CA7254">
      <w:pPr>
        <w:pStyle w:val="ListParagraph"/>
        <w:numPr>
          <w:ilvl w:val="0"/>
          <w:numId w:val="1"/>
        </w:numPr>
        <w:rPr>
          <w:rFonts w:ascii="Arial" w:hAnsi="Arial" w:cs="Arial"/>
          <w:sz w:val="24"/>
          <w:szCs w:val="24"/>
        </w:rPr>
      </w:pPr>
      <w:r w:rsidRPr="003E142C">
        <w:rPr>
          <w:rFonts w:ascii="Arial" w:hAnsi="Arial" w:cs="Arial"/>
          <w:sz w:val="24"/>
          <w:szCs w:val="24"/>
        </w:rPr>
        <w:t xml:space="preserve">Compliance with all </w:t>
      </w:r>
      <w:r w:rsidR="003E142C" w:rsidRPr="003E142C">
        <w:rPr>
          <w:rFonts w:ascii="Arial" w:hAnsi="Arial" w:cs="Arial"/>
          <w:sz w:val="24"/>
          <w:szCs w:val="24"/>
        </w:rPr>
        <w:t>rules</w:t>
      </w:r>
      <w:r w:rsidRPr="003E142C">
        <w:rPr>
          <w:rFonts w:ascii="Arial" w:hAnsi="Arial" w:cs="Arial"/>
          <w:sz w:val="24"/>
          <w:szCs w:val="24"/>
        </w:rPr>
        <w:t xml:space="preserve"> and regulations of the (</w:t>
      </w:r>
      <w:r w:rsidR="003E142C" w:rsidRPr="003E142C">
        <w:rPr>
          <w:rFonts w:ascii="Arial" w:hAnsi="Arial" w:cs="Arial"/>
          <w:sz w:val="24"/>
          <w:szCs w:val="24"/>
        </w:rPr>
        <w:t>CRIMINAL JUSTICE AGENCY</w:t>
      </w:r>
      <w:r w:rsidRPr="003E142C">
        <w:rPr>
          <w:rFonts w:ascii="Arial" w:hAnsi="Arial" w:cs="Arial"/>
          <w:sz w:val="24"/>
          <w:szCs w:val="24"/>
        </w:rPr>
        <w:t xml:space="preserve">) Policies and CJIS Security Policy in the operation of all information received. </w:t>
      </w:r>
    </w:p>
    <w:p w14:paraId="0D651A26" w14:textId="06698552" w:rsidR="00CA7254" w:rsidRPr="003E142C" w:rsidRDefault="00CA7254" w:rsidP="00CA7254">
      <w:pPr>
        <w:rPr>
          <w:rFonts w:ascii="Arial" w:hAnsi="Arial" w:cs="Arial"/>
          <w:sz w:val="24"/>
          <w:szCs w:val="24"/>
        </w:rPr>
      </w:pPr>
      <w:r w:rsidRPr="003E142C">
        <w:rPr>
          <w:rFonts w:ascii="Arial" w:hAnsi="Arial" w:cs="Arial"/>
          <w:sz w:val="24"/>
          <w:szCs w:val="24"/>
        </w:rPr>
        <w:t xml:space="preserve">“…management control of the criminal justice function remains solely with the Criminal </w:t>
      </w:r>
      <w:r w:rsidR="003E142C" w:rsidRPr="003E142C">
        <w:rPr>
          <w:rFonts w:ascii="Arial" w:hAnsi="Arial" w:cs="Arial"/>
          <w:sz w:val="24"/>
          <w:szCs w:val="24"/>
        </w:rPr>
        <w:t>Justice</w:t>
      </w:r>
      <w:r w:rsidRPr="003E142C">
        <w:rPr>
          <w:rFonts w:ascii="Arial" w:hAnsi="Arial" w:cs="Arial"/>
          <w:sz w:val="24"/>
          <w:szCs w:val="24"/>
        </w:rPr>
        <w:t xml:space="preserve"> Agency.” Section 5.1.1.4</w:t>
      </w:r>
    </w:p>
    <w:p w14:paraId="163CCC31" w14:textId="0C420504" w:rsidR="00CA7254" w:rsidRPr="003E142C" w:rsidRDefault="00CA7254" w:rsidP="00CA7254">
      <w:pPr>
        <w:rPr>
          <w:rFonts w:ascii="Arial" w:hAnsi="Arial" w:cs="Arial"/>
          <w:sz w:val="24"/>
          <w:szCs w:val="24"/>
        </w:rPr>
      </w:pPr>
      <w:r w:rsidRPr="003E142C">
        <w:rPr>
          <w:rFonts w:ascii="Arial" w:hAnsi="Arial" w:cs="Arial"/>
          <w:sz w:val="24"/>
          <w:szCs w:val="24"/>
        </w:rPr>
        <w:tab/>
        <w:t>This agreement covers the overall supervision of all (</w:t>
      </w:r>
      <w:r w:rsidR="003E142C" w:rsidRPr="003E142C">
        <w:rPr>
          <w:rFonts w:ascii="Arial" w:hAnsi="Arial" w:cs="Arial"/>
          <w:sz w:val="24"/>
          <w:szCs w:val="24"/>
        </w:rPr>
        <w:t>CRIMINAL JUSTICE AGENCY</w:t>
      </w:r>
      <w:r w:rsidRPr="003E142C">
        <w:rPr>
          <w:rFonts w:ascii="Arial" w:hAnsi="Arial" w:cs="Arial"/>
          <w:sz w:val="24"/>
          <w:szCs w:val="24"/>
        </w:rPr>
        <w:t xml:space="preserve">) systems, applications, equipment, systems design, programming, and operational procedures associated with the development, implementation, and maintenance of any (CRIMINAL JUSTICE AGENCY) system to include NCIC Programs that may be subsequently designed and/or implemented within the (CRIMINAL JUSTICE AGENCY). </w:t>
      </w:r>
    </w:p>
    <w:p w14:paraId="5BC72F16" w14:textId="77777777" w:rsidR="003E142C" w:rsidRPr="003E142C" w:rsidRDefault="003E142C" w:rsidP="00CA7254">
      <w:pPr>
        <w:rPr>
          <w:rFonts w:ascii="Arial" w:hAnsi="Arial" w:cs="Arial"/>
        </w:rPr>
      </w:pPr>
    </w:p>
    <w:p w14:paraId="67B18DEF" w14:textId="219EF3DA" w:rsidR="00CA7254" w:rsidRPr="003E142C" w:rsidRDefault="00CA7254" w:rsidP="00CA725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3240"/>
      </w:tblGrid>
      <w:tr w:rsidR="003E142C" w:rsidRPr="003E142C" w14:paraId="7C09D0BC" w14:textId="77777777" w:rsidTr="003E142C">
        <w:tc>
          <w:tcPr>
            <w:tcW w:w="5670" w:type="dxa"/>
            <w:tcBorders>
              <w:bottom w:val="single" w:sz="4" w:space="0" w:color="auto"/>
            </w:tcBorders>
          </w:tcPr>
          <w:p w14:paraId="71BCF79D" w14:textId="77777777" w:rsidR="003E142C" w:rsidRPr="003E142C" w:rsidRDefault="003E142C" w:rsidP="00CA7254">
            <w:pPr>
              <w:rPr>
                <w:rFonts w:ascii="Arial" w:hAnsi="Arial" w:cs="Arial"/>
              </w:rPr>
            </w:pPr>
          </w:p>
        </w:tc>
        <w:tc>
          <w:tcPr>
            <w:tcW w:w="450" w:type="dxa"/>
          </w:tcPr>
          <w:p w14:paraId="3503AAEE" w14:textId="77777777" w:rsidR="003E142C" w:rsidRPr="003E142C" w:rsidRDefault="003E142C" w:rsidP="00CA7254">
            <w:pPr>
              <w:rPr>
                <w:rFonts w:ascii="Arial" w:hAnsi="Arial" w:cs="Arial"/>
              </w:rPr>
            </w:pPr>
          </w:p>
        </w:tc>
        <w:tc>
          <w:tcPr>
            <w:tcW w:w="3240" w:type="dxa"/>
            <w:tcBorders>
              <w:bottom w:val="single" w:sz="4" w:space="0" w:color="auto"/>
            </w:tcBorders>
          </w:tcPr>
          <w:p w14:paraId="797441B6" w14:textId="16617CF6" w:rsidR="003E142C" w:rsidRPr="003E142C" w:rsidRDefault="003E142C" w:rsidP="00CA7254">
            <w:pPr>
              <w:rPr>
                <w:rFonts w:ascii="Arial" w:hAnsi="Arial" w:cs="Arial"/>
              </w:rPr>
            </w:pPr>
          </w:p>
        </w:tc>
      </w:tr>
      <w:tr w:rsidR="003E142C" w:rsidRPr="003E142C" w14:paraId="6CE853AD" w14:textId="77777777" w:rsidTr="003E142C">
        <w:tc>
          <w:tcPr>
            <w:tcW w:w="5670" w:type="dxa"/>
            <w:tcBorders>
              <w:top w:val="single" w:sz="4" w:space="0" w:color="auto"/>
            </w:tcBorders>
          </w:tcPr>
          <w:p w14:paraId="1F99B29C" w14:textId="5997EE9E" w:rsidR="003E142C" w:rsidRPr="003E142C" w:rsidRDefault="003E142C" w:rsidP="00CA7254">
            <w:pPr>
              <w:rPr>
                <w:rFonts w:ascii="Arial" w:hAnsi="Arial" w:cs="Arial"/>
              </w:rPr>
            </w:pPr>
            <w:r w:rsidRPr="003E142C">
              <w:rPr>
                <w:rFonts w:ascii="Arial" w:hAnsi="Arial" w:cs="Arial"/>
              </w:rPr>
              <w:t>John Smith, CIO</w:t>
            </w:r>
          </w:p>
        </w:tc>
        <w:tc>
          <w:tcPr>
            <w:tcW w:w="450" w:type="dxa"/>
          </w:tcPr>
          <w:p w14:paraId="5953EDE9" w14:textId="77777777" w:rsidR="003E142C" w:rsidRPr="003E142C" w:rsidRDefault="003E142C" w:rsidP="00CA7254">
            <w:pPr>
              <w:rPr>
                <w:rFonts w:ascii="Arial" w:hAnsi="Arial" w:cs="Arial"/>
              </w:rPr>
            </w:pPr>
          </w:p>
        </w:tc>
        <w:tc>
          <w:tcPr>
            <w:tcW w:w="3240" w:type="dxa"/>
            <w:tcBorders>
              <w:top w:val="single" w:sz="4" w:space="0" w:color="auto"/>
            </w:tcBorders>
          </w:tcPr>
          <w:p w14:paraId="6665DD51" w14:textId="68C143D3" w:rsidR="003E142C" w:rsidRPr="003E142C" w:rsidRDefault="003E142C" w:rsidP="00CA7254">
            <w:pPr>
              <w:rPr>
                <w:rFonts w:ascii="Arial" w:hAnsi="Arial" w:cs="Arial"/>
              </w:rPr>
            </w:pPr>
            <w:r w:rsidRPr="003E142C">
              <w:rPr>
                <w:rFonts w:ascii="Arial" w:hAnsi="Arial" w:cs="Arial"/>
              </w:rPr>
              <w:t>Date</w:t>
            </w:r>
          </w:p>
        </w:tc>
      </w:tr>
      <w:tr w:rsidR="003E142C" w:rsidRPr="003E142C" w14:paraId="5606AF18" w14:textId="77777777" w:rsidTr="003E142C">
        <w:tc>
          <w:tcPr>
            <w:tcW w:w="5670" w:type="dxa"/>
          </w:tcPr>
          <w:p w14:paraId="27DEF93A" w14:textId="6839B109" w:rsidR="003E142C" w:rsidRPr="003E142C" w:rsidRDefault="003E142C" w:rsidP="00CA7254">
            <w:pPr>
              <w:rPr>
                <w:rFonts w:ascii="Arial" w:hAnsi="Arial" w:cs="Arial"/>
              </w:rPr>
            </w:pPr>
            <w:r w:rsidRPr="003E142C">
              <w:rPr>
                <w:rFonts w:ascii="Arial" w:hAnsi="Arial" w:cs="Arial"/>
              </w:rPr>
              <w:t xml:space="preserve">Any State Department </w:t>
            </w:r>
            <w:r>
              <w:rPr>
                <w:rFonts w:ascii="Arial" w:hAnsi="Arial" w:cs="Arial"/>
              </w:rPr>
              <w:t>o</w:t>
            </w:r>
            <w:r w:rsidRPr="003E142C">
              <w:rPr>
                <w:rFonts w:ascii="Arial" w:hAnsi="Arial" w:cs="Arial"/>
              </w:rPr>
              <w:t>f Admin</w:t>
            </w:r>
          </w:p>
        </w:tc>
        <w:tc>
          <w:tcPr>
            <w:tcW w:w="450" w:type="dxa"/>
          </w:tcPr>
          <w:p w14:paraId="01806C6B" w14:textId="77777777" w:rsidR="003E142C" w:rsidRPr="003E142C" w:rsidRDefault="003E142C" w:rsidP="00CA7254">
            <w:pPr>
              <w:rPr>
                <w:rFonts w:ascii="Arial" w:hAnsi="Arial" w:cs="Arial"/>
              </w:rPr>
            </w:pPr>
          </w:p>
        </w:tc>
        <w:tc>
          <w:tcPr>
            <w:tcW w:w="3240" w:type="dxa"/>
          </w:tcPr>
          <w:p w14:paraId="300BF6C5" w14:textId="03DAF1F1" w:rsidR="003E142C" w:rsidRPr="003E142C" w:rsidRDefault="003E142C" w:rsidP="00CA7254">
            <w:pPr>
              <w:rPr>
                <w:rFonts w:ascii="Arial" w:hAnsi="Arial" w:cs="Arial"/>
              </w:rPr>
            </w:pPr>
          </w:p>
        </w:tc>
      </w:tr>
      <w:tr w:rsidR="003E142C" w:rsidRPr="003E142C" w14:paraId="4F1057E7" w14:textId="77777777" w:rsidTr="003E142C">
        <w:tc>
          <w:tcPr>
            <w:tcW w:w="5670" w:type="dxa"/>
          </w:tcPr>
          <w:p w14:paraId="59780927" w14:textId="77777777" w:rsidR="003E142C" w:rsidRPr="003E142C" w:rsidRDefault="003E142C" w:rsidP="00CA7254">
            <w:pPr>
              <w:rPr>
                <w:rFonts w:ascii="Arial" w:hAnsi="Arial" w:cs="Arial"/>
              </w:rPr>
            </w:pPr>
          </w:p>
        </w:tc>
        <w:tc>
          <w:tcPr>
            <w:tcW w:w="450" w:type="dxa"/>
          </w:tcPr>
          <w:p w14:paraId="4811F661" w14:textId="77777777" w:rsidR="003E142C" w:rsidRPr="003E142C" w:rsidRDefault="003E142C" w:rsidP="00CA7254">
            <w:pPr>
              <w:rPr>
                <w:rFonts w:ascii="Arial" w:hAnsi="Arial" w:cs="Arial"/>
              </w:rPr>
            </w:pPr>
          </w:p>
        </w:tc>
        <w:tc>
          <w:tcPr>
            <w:tcW w:w="3240" w:type="dxa"/>
          </w:tcPr>
          <w:p w14:paraId="6D040A69" w14:textId="36CBEB63" w:rsidR="003E142C" w:rsidRPr="003E142C" w:rsidRDefault="003E142C" w:rsidP="00CA7254">
            <w:pPr>
              <w:rPr>
                <w:rFonts w:ascii="Arial" w:hAnsi="Arial" w:cs="Arial"/>
              </w:rPr>
            </w:pPr>
          </w:p>
        </w:tc>
      </w:tr>
      <w:tr w:rsidR="003E142C" w:rsidRPr="003E142C" w14:paraId="613368A2" w14:textId="77777777" w:rsidTr="003E142C">
        <w:tc>
          <w:tcPr>
            <w:tcW w:w="5670" w:type="dxa"/>
          </w:tcPr>
          <w:p w14:paraId="4C02C314" w14:textId="77777777" w:rsidR="003E142C" w:rsidRPr="003E142C" w:rsidRDefault="003E142C" w:rsidP="00CA7254">
            <w:pPr>
              <w:rPr>
                <w:rFonts w:ascii="Arial" w:hAnsi="Arial" w:cs="Arial"/>
              </w:rPr>
            </w:pPr>
          </w:p>
        </w:tc>
        <w:tc>
          <w:tcPr>
            <w:tcW w:w="450" w:type="dxa"/>
          </w:tcPr>
          <w:p w14:paraId="2102B068" w14:textId="77777777" w:rsidR="003E142C" w:rsidRPr="003E142C" w:rsidRDefault="003E142C" w:rsidP="00CA7254">
            <w:pPr>
              <w:rPr>
                <w:rFonts w:ascii="Arial" w:hAnsi="Arial" w:cs="Arial"/>
              </w:rPr>
            </w:pPr>
          </w:p>
        </w:tc>
        <w:tc>
          <w:tcPr>
            <w:tcW w:w="3240" w:type="dxa"/>
          </w:tcPr>
          <w:p w14:paraId="7F364CF6" w14:textId="77777777" w:rsidR="003E142C" w:rsidRPr="003E142C" w:rsidRDefault="003E142C" w:rsidP="00CA7254">
            <w:pPr>
              <w:rPr>
                <w:rFonts w:ascii="Arial" w:hAnsi="Arial" w:cs="Arial"/>
              </w:rPr>
            </w:pPr>
          </w:p>
        </w:tc>
      </w:tr>
      <w:tr w:rsidR="003E142C" w:rsidRPr="003E142C" w14:paraId="6D3313CA" w14:textId="77777777" w:rsidTr="003E142C">
        <w:tc>
          <w:tcPr>
            <w:tcW w:w="5670" w:type="dxa"/>
            <w:tcBorders>
              <w:bottom w:val="single" w:sz="4" w:space="0" w:color="auto"/>
            </w:tcBorders>
          </w:tcPr>
          <w:p w14:paraId="41091933" w14:textId="77777777" w:rsidR="003E142C" w:rsidRPr="003E142C" w:rsidRDefault="003E142C" w:rsidP="00CA7254">
            <w:pPr>
              <w:rPr>
                <w:rFonts w:ascii="Arial" w:hAnsi="Arial" w:cs="Arial"/>
              </w:rPr>
            </w:pPr>
          </w:p>
        </w:tc>
        <w:tc>
          <w:tcPr>
            <w:tcW w:w="450" w:type="dxa"/>
          </w:tcPr>
          <w:p w14:paraId="66AF3679" w14:textId="77777777" w:rsidR="003E142C" w:rsidRPr="003E142C" w:rsidRDefault="003E142C" w:rsidP="00CA7254">
            <w:pPr>
              <w:rPr>
                <w:rFonts w:ascii="Arial" w:hAnsi="Arial" w:cs="Arial"/>
              </w:rPr>
            </w:pPr>
          </w:p>
        </w:tc>
        <w:tc>
          <w:tcPr>
            <w:tcW w:w="3240" w:type="dxa"/>
            <w:tcBorders>
              <w:bottom w:val="single" w:sz="4" w:space="0" w:color="auto"/>
            </w:tcBorders>
          </w:tcPr>
          <w:p w14:paraId="1518A308" w14:textId="7425BC21" w:rsidR="003E142C" w:rsidRPr="003E142C" w:rsidRDefault="003E142C" w:rsidP="00CA7254">
            <w:pPr>
              <w:rPr>
                <w:rFonts w:ascii="Arial" w:hAnsi="Arial" w:cs="Arial"/>
              </w:rPr>
            </w:pPr>
          </w:p>
        </w:tc>
      </w:tr>
      <w:tr w:rsidR="003E142C" w:rsidRPr="003E142C" w14:paraId="10C5044E" w14:textId="77777777" w:rsidTr="003E142C">
        <w:tc>
          <w:tcPr>
            <w:tcW w:w="5670" w:type="dxa"/>
            <w:tcBorders>
              <w:top w:val="single" w:sz="4" w:space="0" w:color="auto"/>
            </w:tcBorders>
          </w:tcPr>
          <w:p w14:paraId="5B8B1AD3" w14:textId="5DC72E52" w:rsidR="003E142C" w:rsidRPr="003E142C" w:rsidRDefault="003E142C" w:rsidP="00CA7254">
            <w:pPr>
              <w:rPr>
                <w:rFonts w:ascii="Arial" w:hAnsi="Arial" w:cs="Arial"/>
              </w:rPr>
            </w:pPr>
            <w:r w:rsidRPr="003E142C">
              <w:rPr>
                <w:rFonts w:ascii="Arial" w:hAnsi="Arial" w:cs="Arial"/>
              </w:rPr>
              <w:t>Joan Brown, CIO</w:t>
            </w:r>
          </w:p>
        </w:tc>
        <w:tc>
          <w:tcPr>
            <w:tcW w:w="450" w:type="dxa"/>
          </w:tcPr>
          <w:p w14:paraId="5390F39B" w14:textId="77777777" w:rsidR="003E142C" w:rsidRPr="003E142C" w:rsidRDefault="003E142C" w:rsidP="00CA7254">
            <w:pPr>
              <w:rPr>
                <w:rFonts w:ascii="Arial" w:hAnsi="Arial" w:cs="Arial"/>
              </w:rPr>
            </w:pPr>
          </w:p>
        </w:tc>
        <w:tc>
          <w:tcPr>
            <w:tcW w:w="3240" w:type="dxa"/>
            <w:tcBorders>
              <w:top w:val="single" w:sz="4" w:space="0" w:color="auto"/>
            </w:tcBorders>
          </w:tcPr>
          <w:p w14:paraId="029106F8" w14:textId="6AC99CCA" w:rsidR="003E142C" w:rsidRPr="003E142C" w:rsidRDefault="003E142C" w:rsidP="00CA7254">
            <w:pPr>
              <w:rPr>
                <w:rFonts w:ascii="Arial" w:hAnsi="Arial" w:cs="Arial"/>
              </w:rPr>
            </w:pPr>
            <w:r w:rsidRPr="003E142C">
              <w:rPr>
                <w:rFonts w:ascii="Arial" w:hAnsi="Arial" w:cs="Arial"/>
              </w:rPr>
              <w:t>Date</w:t>
            </w:r>
          </w:p>
        </w:tc>
      </w:tr>
      <w:tr w:rsidR="003E142C" w:rsidRPr="003E142C" w14:paraId="369FBD3E" w14:textId="77777777" w:rsidTr="003E142C">
        <w:tc>
          <w:tcPr>
            <w:tcW w:w="5670" w:type="dxa"/>
          </w:tcPr>
          <w:p w14:paraId="61C8DB98" w14:textId="468E9790" w:rsidR="003E142C" w:rsidRPr="003E142C" w:rsidRDefault="003E142C" w:rsidP="00CA7254">
            <w:pPr>
              <w:rPr>
                <w:rFonts w:ascii="Arial" w:hAnsi="Arial" w:cs="Arial"/>
              </w:rPr>
            </w:pPr>
            <w:r w:rsidRPr="003E142C">
              <w:rPr>
                <w:rFonts w:ascii="Arial" w:hAnsi="Arial" w:cs="Arial"/>
              </w:rPr>
              <w:t>Criminal Justice Agency</w:t>
            </w:r>
          </w:p>
        </w:tc>
        <w:tc>
          <w:tcPr>
            <w:tcW w:w="450" w:type="dxa"/>
          </w:tcPr>
          <w:p w14:paraId="435AE470" w14:textId="77777777" w:rsidR="003E142C" w:rsidRPr="003E142C" w:rsidRDefault="003E142C" w:rsidP="00CA7254">
            <w:pPr>
              <w:rPr>
                <w:rFonts w:ascii="Arial" w:hAnsi="Arial" w:cs="Arial"/>
              </w:rPr>
            </w:pPr>
          </w:p>
        </w:tc>
        <w:tc>
          <w:tcPr>
            <w:tcW w:w="3240" w:type="dxa"/>
          </w:tcPr>
          <w:p w14:paraId="719D324E" w14:textId="7ADE75D2" w:rsidR="003E142C" w:rsidRPr="003E142C" w:rsidRDefault="003E142C" w:rsidP="00CA7254">
            <w:pPr>
              <w:rPr>
                <w:rFonts w:ascii="Arial" w:hAnsi="Arial" w:cs="Arial"/>
              </w:rPr>
            </w:pPr>
          </w:p>
        </w:tc>
      </w:tr>
    </w:tbl>
    <w:p w14:paraId="05A629B9" w14:textId="5AE764A1" w:rsidR="00CA7254" w:rsidRPr="003E142C" w:rsidRDefault="00CA7254" w:rsidP="003E142C">
      <w:pPr>
        <w:rPr>
          <w:rFonts w:ascii="Arial" w:hAnsi="Arial" w:cs="Arial"/>
        </w:rPr>
      </w:pPr>
    </w:p>
    <w:sectPr w:rsidR="00CA7254" w:rsidRPr="003E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B0F75"/>
    <w:multiLevelType w:val="hybridMultilevel"/>
    <w:tmpl w:val="B5146418"/>
    <w:lvl w:ilvl="0" w:tplc="873A4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54"/>
    <w:rsid w:val="0024553F"/>
    <w:rsid w:val="003E142C"/>
    <w:rsid w:val="006A0587"/>
    <w:rsid w:val="00CA725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FD1F"/>
  <w15:chartTrackingRefBased/>
  <w15:docId w15:val="{32226734-8C77-4DCF-9CF4-FF51FC5E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J">
    <w:name w:val="DOJ"/>
    <w:basedOn w:val="Normal"/>
    <w:link w:val="DOJChar"/>
    <w:autoRedefine/>
    <w:qFormat/>
    <w:rsid w:val="006A0587"/>
    <w:rPr>
      <w:rFonts w:ascii="Arial" w:hAnsi="Arial"/>
      <w:sz w:val="24"/>
    </w:rPr>
  </w:style>
  <w:style w:type="character" w:customStyle="1" w:styleId="DOJChar">
    <w:name w:val="DOJ Char"/>
    <w:basedOn w:val="DefaultParagraphFont"/>
    <w:link w:val="DOJ"/>
    <w:rsid w:val="006A0587"/>
    <w:rPr>
      <w:rFonts w:ascii="Arial" w:hAnsi="Arial"/>
      <w:sz w:val="24"/>
    </w:rPr>
  </w:style>
  <w:style w:type="paragraph" w:customStyle="1" w:styleId="JessicaDefault">
    <w:name w:val="Jessica Default"/>
    <w:basedOn w:val="Normal"/>
    <w:link w:val="JessicaDefaultChar"/>
    <w:autoRedefine/>
    <w:qFormat/>
    <w:rsid w:val="0024553F"/>
    <w:rPr>
      <w:rFonts w:ascii="Arial Nova" w:hAnsi="Arial Nova" w:cs="Arial"/>
    </w:rPr>
  </w:style>
  <w:style w:type="character" w:customStyle="1" w:styleId="JessicaDefaultChar">
    <w:name w:val="Jessica Default Char"/>
    <w:basedOn w:val="DefaultParagraphFont"/>
    <w:link w:val="JessicaDefault"/>
    <w:rsid w:val="0024553F"/>
    <w:rPr>
      <w:rFonts w:ascii="Arial Nova" w:hAnsi="Arial Nova" w:cs="Arial"/>
    </w:rPr>
  </w:style>
  <w:style w:type="paragraph" w:styleId="ListParagraph">
    <w:name w:val="List Paragraph"/>
    <w:basedOn w:val="Normal"/>
    <w:uiPriority w:val="34"/>
    <w:qFormat/>
    <w:rsid w:val="00CA7254"/>
    <w:pPr>
      <w:ind w:left="720"/>
      <w:contextualSpacing/>
    </w:pPr>
  </w:style>
  <w:style w:type="table" w:styleId="TableGrid">
    <w:name w:val="Table Grid"/>
    <w:basedOn w:val="TableNormal"/>
    <w:uiPriority w:val="39"/>
    <w:rsid w:val="003E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Jessica</dc:creator>
  <cp:keywords/>
  <dc:description/>
  <cp:lastModifiedBy>Ritchie, Jessica</cp:lastModifiedBy>
  <cp:revision>1</cp:revision>
  <dcterms:created xsi:type="dcterms:W3CDTF">2021-05-11T15:53:00Z</dcterms:created>
  <dcterms:modified xsi:type="dcterms:W3CDTF">2021-05-11T16:11:00Z</dcterms:modified>
</cp:coreProperties>
</file>